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EFB29">
      <w:pPr>
        <w:widowControl/>
        <w:jc w:val="center"/>
        <w:rPr>
          <w:rFonts w:ascii="宋体" w:hAnsi="宋体" w:eastAsia="宋体" w:cs="宋体"/>
          <w:b/>
          <w:bCs/>
          <w:color w:val="000000"/>
          <w:spacing w:val="14"/>
          <w:sz w:val="32"/>
          <w:szCs w:val="32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spacing w:val="6"/>
          <w:sz w:val="32"/>
          <w:szCs w:val="32"/>
          <w:lang w:val="en-US" w:eastAsia="zh-CN" w:bidi="ar"/>
        </w:rPr>
        <w:t>杀毒软件</w:t>
      </w:r>
      <w:r>
        <w:rPr>
          <w:rFonts w:hint="eastAsia" w:ascii="宋体" w:hAnsi="宋体" w:eastAsia="宋体" w:cs="宋体"/>
          <w:b/>
          <w:bCs/>
          <w:color w:val="000000"/>
          <w:spacing w:val="14"/>
          <w:sz w:val="32"/>
          <w:szCs w:val="32"/>
          <w:lang w:bidi="ar"/>
        </w:rPr>
        <w:t>项目</w:t>
      </w:r>
    </w:p>
    <w:p w14:paraId="366AFA34">
      <w:pPr>
        <w:widowControl/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推介会评价表</w:t>
      </w:r>
    </w:p>
    <w:p w14:paraId="5E7A784B">
      <w:pPr>
        <w:spacing w:line="360" w:lineRule="auto"/>
        <w:rPr>
          <w:rFonts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 xml:space="preserve">供应商名称： </w:t>
      </w:r>
    </w:p>
    <w:p w14:paraId="1B855FA3">
      <w:pPr>
        <w:rPr>
          <w:rFonts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推介会日期：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758"/>
        <w:gridCol w:w="4836"/>
        <w:gridCol w:w="879"/>
        <w:gridCol w:w="878"/>
      </w:tblGrid>
      <w:tr w14:paraId="5DBEF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607" w:type="dxa"/>
            <w:vAlign w:val="center"/>
          </w:tcPr>
          <w:p w14:paraId="046E2DD2">
            <w:pPr>
              <w:widowControl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类别</w:t>
            </w:r>
          </w:p>
        </w:tc>
        <w:tc>
          <w:tcPr>
            <w:tcW w:w="1758" w:type="dxa"/>
            <w:vAlign w:val="center"/>
          </w:tcPr>
          <w:p w14:paraId="02C965B8">
            <w:pPr>
              <w:widowControl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评价项目</w:t>
            </w:r>
          </w:p>
        </w:tc>
        <w:tc>
          <w:tcPr>
            <w:tcW w:w="4836" w:type="dxa"/>
            <w:vAlign w:val="center"/>
          </w:tcPr>
          <w:p w14:paraId="6DC7F325">
            <w:pPr>
              <w:widowControl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评价细则</w:t>
            </w:r>
          </w:p>
        </w:tc>
        <w:tc>
          <w:tcPr>
            <w:tcW w:w="879" w:type="dxa"/>
            <w:vAlign w:val="center"/>
          </w:tcPr>
          <w:p w14:paraId="751FDF13">
            <w:pPr>
              <w:widowControl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分值</w:t>
            </w:r>
          </w:p>
        </w:tc>
        <w:tc>
          <w:tcPr>
            <w:tcW w:w="878" w:type="dxa"/>
            <w:vAlign w:val="center"/>
          </w:tcPr>
          <w:p w14:paraId="653E3A81">
            <w:pPr>
              <w:widowControl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得分</w:t>
            </w:r>
          </w:p>
        </w:tc>
      </w:tr>
      <w:tr w14:paraId="0F3F7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Merge w:val="restart"/>
          </w:tcPr>
          <w:p w14:paraId="3FF8B83F">
            <w:pPr>
              <w:widowControl/>
              <w:jc w:val="left"/>
            </w:pPr>
            <w:bookmarkStart w:id="0" w:name="_GoBack" w:colFirst="0" w:colLast="0"/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eastAsia="zh-Hans"/>
              </w:rPr>
              <w:t>产品性能与技术参数</w:t>
            </w:r>
          </w:p>
        </w:tc>
        <w:tc>
          <w:tcPr>
            <w:tcW w:w="1758" w:type="dxa"/>
          </w:tcPr>
          <w:p w14:paraId="3BD2C8C8">
            <w:pPr>
              <w:widowControl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  <w:t>统一管理</w:t>
            </w:r>
          </w:p>
        </w:tc>
        <w:tc>
          <w:tcPr>
            <w:tcW w:w="4836" w:type="dxa"/>
          </w:tcPr>
          <w:p w14:paraId="724AB5D4">
            <w:pPr>
              <w:widowControl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实现系统的集中管理、管理员账号管理、分组管理、消息推送、策略配置、多级管理、虚拟化管理、报表查看等功能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879" w:type="dxa"/>
          </w:tcPr>
          <w:p w14:paraId="0AA1E368">
            <w:pPr>
              <w:widowControl/>
              <w:jc w:val="left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分</w:t>
            </w:r>
          </w:p>
        </w:tc>
        <w:tc>
          <w:tcPr>
            <w:tcW w:w="878" w:type="dxa"/>
          </w:tcPr>
          <w:p w14:paraId="05117E80">
            <w:pPr>
              <w:widowControl/>
              <w:jc w:val="left"/>
            </w:pPr>
          </w:p>
        </w:tc>
      </w:tr>
      <w:bookmarkEnd w:id="0"/>
      <w:tr w14:paraId="32058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Merge w:val="continue"/>
            <w:tcBorders/>
          </w:tcPr>
          <w:p w14:paraId="515C6F5F">
            <w:pPr>
              <w:widowControl/>
              <w:jc w:val="left"/>
            </w:pPr>
          </w:p>
        </w:tc>
        <w:tc>
          <w:tcPr>
            <w:tcW w:w="1758" w:type="dxa"/>
          </w:tcPr>
          <w:p w14:paraId="39B1E497">
            <w:pPr>
              <w:widowControl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  <w:t>操作系统</w:t>
            </w:r>
          </w:p>
        </w:tc>
        <w:tc>
          <w:tcPr>
            <w:tcW w:w="4836" w:type="dxa"/>
          </w:tcPr>
          <w:p w14:paraId="5C439311">
            <w:pPr>
              <w:widowControl/>
              <w:jc w:val="left"/>
            </w:pPr>
            <w:r>
              <w:rPr>
                <w:rFonts w:hint="eastAsia"/>
              </w:rPr>
              <w:t>客户端支持多类型操作系统同台管理，包括但不限于 Windows 7/Windows 8/Windows 10/macOS/CentOS，Ubuntu/龙蜥操作系统等，支持英文版操作系统。支持对国产终端进行统一管理，包括但不限于麒麟V10/麒麟V10 SP1/统信UOS。</w:t>
            </w:r>
          </w:p>
        </w:tc>
        <w:tc>
          <w:tcPr>
            <w:tcW w:w="879" w:type="dxa"/>
          </w:tcPr>
          <w:p w14:paraId="791E524D">
            <w:pPr>
              <w:widowControl/>
              <w:jc w:val="left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分</w:t>
            </w:r>
          </w:p>
        </w:tc>
        <w:tc>
          <w:tcPr>
            <w:tcW w:w="878" w:type="dxa"/>
          </w:tcPr>
          <w:p w14:paraId="2C22F4E4">
            <w:pPr>
              <w:widowControl/>
              <w:jc w:val="left"/>
            </w:pPr>
          </w:p>
        </w:tc>
      </w:tr>
      <w:tr w14:paraId="69EBE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Merge w:val="continue"/>
            <w:tcBorders/>
          </w:tcPr>
          <w:p w14:paraId="534BA2C0">
            <w:pPr>
              <w:widowControl/>
              <w:jc w:val="left"/>
            </w:pPr>
          </w:p>
        </w:tc>
        <w:tc>
          <w:tcPr>
            <w:tcW w:w="1758" w:type="dxa"/>
          </w:tcPr>
          <w:p w14:paraId="1E0F0874">
            <w:pPr>
              <w:widowControl/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Hans"/>
              </w:rPr>
              <w:t>风险检测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  <w:t>能力</w:t>
            </w:r>
          </w:p>
        </w:tc>
        <w:tc>
          <w:tcPr>
            <w:tcW w:w="4836" w:type="dxa"/>
          </w:tcPr>
          <w:p w14:paraId="34516061">
            <w:pPr>
              <w:widowControl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支持对终端资产是否存在风险进行检测，包括是否存在指定高危端口、是否存在不合规账户、是否存在不合规启动项、计划任务，是否使用未激活系统等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879" w:type="dxa"/>
          </w:tcPr>
          <w:p w14:paraId="09D72E7B">
            <w:pPr>
              <w:widowControl/>
              <w:jc w:val="left"/>
            </w:pPr>
            <w:r>
              <w:rPr>
                <w:rFonts w:hint="eastAsia"/>
              </w:rPr>
              <w:t>2分</w:t>
            </w:r>
          </w:p>
        </w:tc>
        <w:tc>
          <w:tcPr>
            <w:tcW w:w="878" w:type="dxa"/>
          </w:tcPr>
          <w:p w14:paraId="4FCC6D07">
            <w:pPr>
              <w:widowControl/>
              <w:jc w:val="left"/>
            </w:pPr>
          </w:p>
        </w:tc>
      </w:tr>
      <w:tr w14:paraId="3B10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Merge w:val="continue"/>
            <w:tcBorders/>
          </w:tcPr>
          <w:p w14:paraId="190BE5B5">
            <w:pPr>
              <w:widowControl/>
              <w:jc w:val="left"/>
            </w:pPr>
          </w:p>
        </w:tc>
        <w:tc>
          <w:tcPr>
            <w:tcW w:w="1758" w:type="dxa"/>
            <w:vAlign w:val="center"/>
          </w:tcPr>
          <w:p w14:paraId="4988D24E">
            <w:pPr>
              <w:widowControl/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Hans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Hans"/>
              </w:rPr>
              <w:t>黑客入侵防护</w:t>
            </w:r>
          </w:p>
        </w:tc>
        <w:tc>
          <w:tcPr>
            <w:tcW w:w="4836" w:type="dxa"/>
          </w:tcPr>
          <w:p w14:paraId="59B28E61">
            <w:pPr>
              <w:widowControl/>
              <w:jc w:val="left"/>
            </w:pPr>
            <w:r>
              <w:rPr>
                <w:rFonts w:hint="eastAsia"/>
              </w:rPr>
              <w:t>自动阻止高风险的远程登录行为、自动阻止高风险的数据库远程登录行为；支持文档图片防护：支持文档图片防护功能，保护文档、图片不被木马病毒加密破坏，支持隔离可疑程序客户端支持勒索远控急救、对弱口令、疑似黑客工具及远程软件进行扫描。</w:t>
            </w:r>
          </w:p>
        </w:tc>
        <w:tc>
          <w:tcPr>
            <w:tcW w:w="879" w:type="dxa"/>
          </w:tcPr>
          <w:p w14:paraId="223FB9A3">
            <w:pPr>
              <w:widowControl/>
              <w:jc w:val="left"/>
            </w:pPr>
            <w:r>
              <w:t>4</w:t>
            </w:r>
            <w:r>
              <w:rPr>
                <w:rFonts w:hint="eastAsia"/>
              </w:rPr>
              <w:t>分</w:t>
            </w:r>
          </w:p>
        </w:tc>
        <w:tc>
          <w:tcPr>
            <w:tcW w:w="878" w:type="dxa"/>
          </w:tcPr>
          <w:p w14:paraId="65527F8B">
            <w:pPr>
              <w:widowControl/>
              <w:jc w:val="left"/>
            </w:pPr>
          </w:p>
        </w:tc>
      </w:tr>
      <w:tr w14:paraId="0C403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Merge w:val="continue"/>
            <w:tcBorders/>
          </w:tcPr>
          <w:p w14:paraId="4EC974E1">
            <w:pPr>
              <w:widowControl/>
              <w:jc w:val="left"/>
            </w:pPr>
          </w:p>
        </w:tc>
        <w:tc>
          <w:tcPr>
            <w:tcW w:w="1758" w:type="dxa"/>
            <w:vAlign w:val="center"/>
          </w:tcPr>
          <w:p w14:paraId="242927AD">
            <w:pPr>
              <w:widowControl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  <w:t>虚拟补丁</w:t>
            </w:r>
          </w:p>
        </w:tc>
        <w:tc>
          <w:tcPr>
            <w:tcW w:w="4836" w:type="dxa"/>
            <w:vAlign w:val="center"/>
          </w:tcPr>
          <w:p w14:paraId="60191559">
            <w:pPr>
              <w:widowControl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提供高危漏洞免疫功能，当无法通过常规官方补丁进行漏洞修复或面临突发高危漏洞时，可通过微补丁先行覆盖漏洞，客户端支持展示当前存在的微补丁及对应的CVE漏洞信息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879" w:type="dxa"/>
          </w:tcPr>
          <w:p w14:paraId="4159636F">
            <w:pPr>
              <w:widowControl/>
              <w:jc w:val="left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分</w:t>
            </w:r>
          </w:p>
        </w:tc>
        <w:tc>
          <w:tcPr>
            <w:tcW w:w="878" w:type="dxa"/>
          </w:tcPr>
          <w:p w14:paraId="30C43FAC">
            <w:pPr>
              <w:widowControl/>
              <w:jc w:val="left"/>
            </w:pPr>
          </w:p>
        </w:tc>
      </w:tr>
      <w:tr w14:paraId="54CC8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Merge w:val="continue"/>
            <w:tcBorders/>
          </w:tcPr>
          <w:p w14:paraId="2AABBCDE">
            <w:pPr>
              <w:widowControl/>
              <w:jc w:val="left"/>
            </w:pPr>
          </w:p>
        </w:tc>
        <w:tc>
          <w:tcPr>
            <w:tcW w:w="1758" w:type="dxa"/>
            <w:vAlign w:val="center"/>
          </w:tcPr>
          <w:p w14:paraId="237F0F5A">
            <w:pPr>
              <w:widowControl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  <w:t>勒索防护</w:t>
            </w:r>
          </w:p>
        </w:tc>
        <w:tc>
          <w:tcPr>
            <w:tcW w:w="4836" w:type="dxa"/>
            <w:vAlign w:val="center"/>
          </w:tcPr>
          <w:p w14:paraId="0DF97D7B">
            <w:pPr>
              <w:widowControl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服务器、客户端勒索防护解决方案</w:t>
            </w:r>
          </w:p>
        </w:tc>
        <w:tc>
          <w:tcPr>
            <w:tcW w:w="879" w:type="dxa"/>
          </w:tcPr>
          <w:p w14:paraId="35ABC77E">
            <w:pPr>
              <w:widowControl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分</w:t>
            </w:r>
          </w:p>
        </w:tc>
        <w:tc>
          <w:tcPr>
            <w:tcW w:w="878" w:type="dxa"/>
          </w:tcPr>
          <w:p w14:paraId="3EFC22E8">
            <w:pPr>
              <w:widowControl/>
              <w:jc w:val="left"/>
            </w:pPr>
          </w:p>
        </w:tc>
      </w:tr>
      <w:tr w14:paraId="13C85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Merge w:val="continue"/>
            <w:tcBorders/>
          </w:tcPr>
          <w:p w14:paraId="24BA7506">
            <w:pPr>
              <w:widowControl/>
              <w:jc w:val="left"/>
            </w:pPr>
          </w:p>
        </w:tc>
        <w:tc>
          <w:tcPr>
            <w:tcW w:w="1758" w:type="dxa"/>
            <w:vAlign w:val="center"/>
          </w:tcPr>
          <w:p w14:paraId="286B6CA8">
            <w:pPr>
              <w:widowControl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  <w:t>离线杀毒</w:t>
            </w:r>
          </w:p>
        </w:tc>
        <w:tc>
          <w:tcPr>
            <w:tcW w:w="4836" w:type="dxa"/>
            <w:vAlign w:val="center"/>
          </w:tcPr>
          <w:p w14:paraId="33E5EA6D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医院不能联网的终端离线杀毒解决方案</w:t>
            </w:r>
          </w:p>
        </w:tc>
        <w:tc>
          <w:tcPr>
            <w:tcW w:w="879" w:type="dxa"/>
          </w:tcPr>
          <w:p w14:paraId="7A82B2A9">
            <w:pPr>
              <w:widowControl/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分</w:t>
            </w:r>
          </w:p>
        </w:tc>
        <w:tc>
          <w:tcPr>
            <w:tcW w:w="878" w:type="dxa"/>
          </w:tcPr>
          <w:p w14:paraId="1BF6AC8F">
            <w:pPr>
              <w:widowControl/>
              <w:jc w:val="left"/>
            </w:pPr>
          </w:p>
        </w:tc>
      </w:tr>
      <w:tr w14:paraId="60196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Merge w:val="continue"/>
            <w:tcBorders/>
          </w:tcPr>
          <w:p w14:paraId="78968AEB">
            <w:pPr>
              <w:widowControl/>
              <w:jc w:val="left"/>
            </w:pPr>
          </w:p>
        </w:tc>
        <w:tc>
          <w:tcPr>
            <w:tcW w:w="1758" w:type="dxa"/>
            <w:vAlign w:val="center"/>
          </w:tcPr>
          <w:p w14:paraId="400B787A">
            <w:pPr>
              <w:widowControl/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  <w:t>终端管控</w:t>
            </w:r>
          </w:p>
        </w:tc>
        <w:tc>
          <w:tcPr>
            <w:tcW w:w="4836" w:type="dxa"/>
            <w:vAlign w:val="center"/>
          </w:tcPr>
          <w:p w14:paraId="7839FFCA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提供</w:t>
            </w:r>
            <w:r>
              <w:rPr>
                <w:rFonts w:hint="eastAsia"/>
                <w:lang w:val="en-US" w:eastAsia="zh-CN"/>
              </w:rPr>
              <w:t>桌面</w:t>
            </w:r>
            <w:r>
              <w:rPr>
                <w:rFonts w:hint="default"/>
                <w:lang w:val="en-US" w:eastAsia="zh-CN"/>
              </w:rPr>
              <w:t>加固、进程</w:t>
            </w:r>
            <w:r>
              <w:rPr>
                <w:rFonts w:hint="eastAsia"/>
                <w:lang w:val="en-US" w:eastAsia="zh-CN"/>
              </w:rPr>
              <w:t>管理</w:t>
            </w:r>
            <w:r>
              <w:rPr>
                <w:rFonts w:hint="default"/>
                <w:lang w:val="en-US" w:eastAsia="zh-CN"/>
              </w:rPr>
              <w:t>、攻击拦截及外联管控，保障资产无忧。</w:t>
            </w:r>
          </w:p>
        </w:tc>
        <w:tc>
          <w:tcPr>
            <w:tcW w:w="879" w:type="dxa"/>
          </w:tcPr>
          <w:p w14:paraId="1B17AE3C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分</w:t>
            </w:r>
          </w:p>
        </w:tc>
        <w:tc>
          <w:tcPr>
            <w:tcW w:w="878" w:type="dxa"/>
          </w:tcPr>
          <w:p w14:paraId="76E8D2FA">
            <w:pPr>
              <w:widowControl/>
              <w:jc w:val="left"/>
            </w:pPr>
          </w:p>
        </w:tc>
      </w:tr>
      <w:tr w14:paraId="38E9A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Merge w:val="continue"/>
            <w:tcBorders/>
          </w:tcPr>
          <w:p w14:paraId="51DF7069">
            <w:pPr>
              <w:widowControl/>
              <w:jc w:val="left"/>
            </w:pPr>
          </w:p>
        </w:tc>
        <w:tc>
          <w:tcPr>
            <w:tcW w:w="1758" w:type="dxa"/>
            <w:vAlign w:val="center"/>
          </w:tcPr>
          <w:p w14:paraId="0AA66200">
            <w:pPr>
              <w:widowControl/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  <w:t>移动存储管控</w:t>
            </w:r>
          </w:p>
        </w:tc>
        <w:tc>
          <w:tcPr>
            <w:tcW w:w="4836" w:type="dxa"/>
            <w:vAlign w:val="center"/>
          </w:tcPr>
          <w:p w14:paraId="43E96C5F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精准管控U盘、移动硬盘等外接设备，实现存储介质读写及外出权限控制、文件操作审计、病毒拦截、加密防护。</w:t>
            </w:r>
          </w:p>
        </w:tc>
        <w:tc>
          <w:tcPr>
            <w:tcW w:w="879" w:type="dxa"/>
          </w:tcPr>
          <w:p w14:paraId="3474C540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分</w:t>
            </w:r>
          </w:p>
        </w:tc>
        <w:tc>
          <w:tcPr>
            <w:tcW w:w="878" w:type="dxa"/>
          </w:tcPr>
          <w:p w14:paraId="64B8EE71">
            <w:pPr>
              <w:widowControl/>
              <w:jc w:val="left"/>
            </w:pPr>
          </w:p>
        </w:tc>
      </w:tr>
      <w:tr w14:paraId="0208E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07" w:type="dxa"/>
            <w:vMerge w:val="continue"/>
            <w:tcBorders/>
          </w:tcPr>
          <w:p w14:paraId="2A555867">
            <w:pPr>
              <w:widowControl/>
              <w:jc w:val="left"/>
            </w:pPr>
          </w:p>
        </w:tc>
        <w:tc>
          <w:tcPr>
            <w:tcW w:w="1758" w:type="dxa"/>
            <w:vAlign w:val="center"/>
          </w:tcPr>
          <w:p w14:paraId="52C8D29F">
            <w:pPr>
              <w:widowControl/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  <w:t>数据安全</w:t>
            </w:r>
          </w:p>
        </w:tc>
        <w:tc>
          <w:tcPr>
            <w:tcW w:w="4836" w:type="dxa"/>
            <w:vAlign w:val="center"/>
          </w:tcPr>
          <w:p w14:paraId="0556CECC">
            <w:pPr>
              <w:widowControl/>
              <w:jc w:val="left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敏感数据全流程防护：自动识别终端敏感信息，拦截违规外发，留存</w:t>
            </w:r>
            <w:r>
              <w:rPr>
                <w:rFonts w:hint="eastAsia"/>
                <w:lang w:val="en-US" w:eastAsia="zh-CN"/>
              </w:rPr>
              <w:t>相关</w:t>
            </w:r>
            <w:r>
              <w:rPr>
                <w:rFonts w:hint="default"/>
                <w:lang w:val="en-US" w:eastAsia="zh-CN"/>
              </w:rPr>
              <w:t>记录</w:t>
            </w:r>
            <w:r>
              <w:rPr>
                <w:rFonts w:hint="eastAsia"/>
                <w:lang w:val="en-US" w:eastAsia="zh-CN"/>
              </w:rPr>
              <w:t>。</w:t>
            </w:r>
          </w:p>
        </w:tc>
        <w:tc>
          <w:tcPr>
            <w:tcW w:w="879" w:type="dxa"/>
          </w:tcPr>
          <w:p w14:paraId="186B169F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分</w:t>
            </w:r>
          </w:p>
        </w:tc>
        <w:tc>
          <w:tcPr>
            <w:tcW w:w="878" w:type="dxa"/>
          </w:tcPr>
          <w:p w14:paraId="3D85F267">
            <w:pPr>
              <w:widowControl/>
              <w:jc w:val="left"/>
            </w:pPr>
          </w:p>
        </w:tc>
      </w:tr>
      <w:tr w14:paraId="77B12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Merge w:val="restart"/>
          </w:tcPr>
          <w:p w14:paraId="4E4C2797">
            <w:pPr>
              <w:widowControl/>
              <w:jc w:val="left"/>
              <w:rPr>
                <w:rFonts w:ascii="宋体" w:hAnsi="宋体" w:eastAsia="宋体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eastAsia="zh-Hans"/>
              </w:rPr>
              <w:t>现场P</w:t>
            </w:r>
            <w:r>
              <w:rPr>
                <w:rFonts w:ascii="方正仿宋_GBK" w:hAnsi="方正仿宋_GBK" w:eastAsia="方正仿宋_GBK" w:cs="方正仿宋_GBK"/>
                <w:b/>
                <w:bCs/>
                <w:sz w:val="24"/>
                <w:lang w:eastAsia="zh-Hans"/>
              </w:rPr>
              <w:t>PT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eastAsia="zh-Hans"/>
              </w:rPr>
              <w:t>介绍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及问答</w:t>
            </w:r>
          </w:p>
        </w:tc>
        <w:tc>
          <w:tcPr>
            <w:tcW w:w="1758" w:type="dxa"/>
          </w:tcPr>
          <w:p w14:paraId="3DE1992C">
            <w:pPr>
              <w:widowControl/>
              <w:jc w:val="left"/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eastAsia="zh-Hans"/>
              </w:rPr>
              <w:t>产品应用能力</w:t>
            </w:r>
          </w:p>
        </w:tc>
        <w:tc>
          <w:tcPr>
            <w:tcW w:w="4836" w:type="dxa"/>
          </w:tcPr>
          <w:p w14:paraId="5B2AF135">
            <w:pPr>
              <w:widowControl/>
              <w:jc w:val="left"/>
            </w:pPr>
            <w:r>
              <w:rPr>
                <w:rFonts w:hint="eastAsia"/>
              </w:rPr>
              <w:t>根据供应商介绍的产品能力、技术参数、应用情况等内容进行综合评价给予</w:t>
            </w:r>
            <w:r>
              <w:t>0-</w:t>
            </w:r>
            <w:r>
              <w:rPr>
                <w:rFonts w:hint="eastAsia"/>
                <w:lang w:val="en-US" w:eastAsia="zh-CN"/>
              </w:rPr>
              <w:t>8</w:t>
            </w:r>
            <w:r>
              <w:t>分。</w:t>
            </w:r>
          </w:p>
        </w:tc>
        <w:tc>
          <w:tcPr>
            <w:tcW w:w="879" w:type="dxa"/>
          </w:tcPr>
          <w:p w14:paraId="7322A6BC">
            <w:pPr>
              <w:widowControl/>
              <w:jc w:val="left"/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分</w:t>
            </w:r>
          </w:p>
        </w:tc>
        <w:tc>
          <w:tcPr>
            <w:tcW w:w="878" w:type="dxa"/>
          </w:tcPr>
          <w:p w14:paraId="5948B7F0">
            <w:pPr>
              <w:widowControl/>
              <w:jc w:val="left"/>
            </w:pPr>
          </w:p>
        </w:tc>
      </w:tr>
      <w:tr w14:paraId="6D5D2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Merge w:val="continue"/>
          </w:tcPr>
          <w:p w14:paraId="4684E1A3">
            <w:pPr>
              <w:widowControl/>
              <w:jc w:val="left"/>
            </w:pPr>
          </w:p>
        </w:tc>
        <w:tc>
          <w:tcPr>
            <w:tcW w:w="1758" w:type="dxa"/>
          </w:tcPr>
          <w:p w14:paraId="0BCCB9B0">
            <w:pPr>
              <w:widowControl/>
              <w:jc w:val="left"/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eastAsia="zh-Hans"/>
              </w:rPr>
              <w:t>项目实施能力</w:t>
            </w:r>
          </w:p>
        </w:tc>
        <w:tc>
          <w:tcPr>
            <w:tcW w:w="4836" w:type="dxa"/>
          </w:tcPr>
          <w:p w14:paraId="69B9801B">
            <w:pPr>
              <w:widowControl/>
              <w:jc w:val="left"/>
            </w:pPr>
            <w:r>
              <w:rPr>
                <w:rFonts w:hint="eastAsia"/>
              </w:rPr>
              <w:t>根据供应商介绍的项目实施方案、计划、实施策略、安装调试、验收等内容进行综合评价给予</w:t>
            </w:r>
            <w:r>
              <w:t>0-</w:t>
            </w:r>
            <w:r>
              <w:rPr>
                <w:rFonts w:hint="eastAsia"/>
                <w:lang w:val="en-US" w:eastAsia="zh-CN"/>
              </w:rPr>
              <w:t>8</w:t>
            </w:r>
            <w:r>
              <w:t>分。</w:t>
            </w:r>
          </w:p>
        </w:tc>
        <w:tc>
          <w:tcPr>
            <w:tcW w:w="879" w:type="dxa"/>
          </w:tcPr>
          <w:p w14:paraId="26AB3CB0">
            <w:pPr>
              <w:widowControl/>
              <w:jc w:val="left"/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分</w:t>
            </w:r>
          </w:p>
        </w:tc>
        <w:tc>
          <w:tcPr>
            <w:tcW w:w="878" w:type="dxa"/>
          </w:tcPr>
          <w:p w14:paraId="0B8113E9">
            <w:pPr>
              <w:widowControl/>
              <w:jc w:val="left"/>
            </w:pPr>
          </w:p>
        </w:tc>
      </w:tr>
      <w:tr w14:paraId="2E774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Merge w:val="continue"/>
          </w:tcPr>
          <w:p w14:paraId="45D582D8">
            <w:pPr>
              <w:widowControl/>
              <w:jc w:val="left"/>
            </w:pPr>
          </w:p>
        </w:tc>
        <w:tc>
          <w:tcPr>
            <w:tcW w:w="1758" w:type="dxa"/>
          </w:tcPr>
          <w:p w14:paraId="05BA8B9B">
            <w:pPr>
              <w:widowControl/>
              <w:jc w:val="left"/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eastAsia="zh-Hans"/>
              </w:rPr>
              <w:t>售后服务能力</w:t>
            </w:r>
          </w:p>
        </w:tc>
        <w:tc>
          <w:tcPr>
            <w:tcW w:w="4836" w:type="dxa"/>
          </w:tcPr>
          <w:p w14:paraId="00282902">
            <w:pPr>
              <w:widowControl/>
              <w:jc w:val="left"/>
            </w:pPr>
            <w:r>
              <w:rPr>
                <w:rFonts w:hint="eastAsia"/>
              </w:rPr>
              <w:t>根据供应商介绍的售后服务内容、售后服务承诺、质保期外的服务方案、本地售后服务人员情况等内容进行综合评价给予</w:t>
            </w:r>
            <w:r>
              <w:t>0-</w:t>
            </w:r>
            <w:r>
              <w:rPr>
                <w:rFonts w:hint="eastAsia"/>
                <w:lang w:val="en-US" w:eastAsia="zh-CN"/>
              </w:rPr>
              <w:t>4</w:t>
            </w:r>
            <w:r>
              <w:t>分。</w:t>
            </w:r>
          </w:p>
        </w:tc>
        <w:tc>
          <w:tcPr>
            <w:tcW w:w="879" w:type="dxa"/>
          </w:tcPr>
          <w:p w14:paraId="38691C1A">
            <w:pPr>
              <w:widowControl/>
              <w:jc w:val="left"/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分</w:t>
            </w:r>
          </w:p>
        </w:tc>
        <w:tc>
          <w:tcPr>
            <w:tcW w:w="878" w:type="dxa"/>
          </w:tcPr>
          <w:p w14:paraId="5E7D9AC3">
            <w:pPr>
              <w:widowControl/>
              <w:jc w:val="left"/>
            </w:pPr>
          </w:p>
        </w:tc>
      </w:tr>
      <w:tr w14:paraId="2093F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Merge w:val="restart"/>
          </w:tcPr>
          <w:p w14:paraId="5D1A87DF">
            <w:pPr>
              <w:widowControl/>
              <w:jc w:val="left"/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eastAsia="zh-Hans"/>
              </w:rPr>
              <w:t>产品商务能力</w:t>
            </w:r>
          </w:p>
        </w:tc>
        <w:tc>
          <w:tcPr>
            <w:tcW w:w="1758" w:type="dxa"/>
          </w:tcPr>
          <w:p w14:paraId="7658E319">
            <w:pPr>
              <w:widowControl/>
              <w:jc w:val="left"/>
              <w:rPr>
                <w:rFonts w:ascii="方正仿宋_GBK" w:hAnsi="方正仿宋_GBK" w:eastAsia="方正仿宋_GBK" w:cs="方正仿宋_GBK"/>
                <w:b/>
                <w:bCs/>
                <w:sz w:val="24"/>
                <w:lang w:eastAsia="zh-Hans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eastAsia="zh-Hans"/>
              </w:rPr>
              <w:t>同类业绩</w:t>
            </w:r>
          </w:p>
        </w:tc>
        <w:tc>
          <w:tcPr>
            <w:tcW w:w="4836" w:type="dxa"/>
          </w:tcPr>
          <w:p w14:paraId="62A6117C">
            <w:pPr>
              <w:widowControl/>
              <w:jc w:val="left"/>
            </w:pPr>
            <w:r>
              <w:rPr>
                <w:rFonts w:hint="eastAsia"/>
              </w:rPr>
              <w:t>提供</w:t>
            </w:r>
            <w:r>
              <w:t>2022年1月1日至今同类产品的医院有效业绩合同，每提供一份得</w:t>
            </w:r>
            <w:r>
              <w:rPr>
                <w:rFonts w:hint="eastAsia"/>
                <w:lang w:val="en-US" w:eastAsia="zh-CN"/>
              </w:rPr>
              <w:t>4</w:t>
            </w:r>
            <w:r>
              <w:t>分，本项最高得</w:t>
            </w:r>
            <w:r>
              <w:rPr>
                <w:rFonts w:hint="eastAsia"/>
                <w:lang w:val="en-US" w:eastAsia="zh-CN"/>
              </w:rPr>
              <w:t>8</w:t>
            </w:r>
            <w:r>
              <w:t>分。</w:t>
            </w:r>
          </w:p>
          <w:p w14:paraId="5638FB6F">
            <w:pPr>
              <w:widowControl/>
              <w:jc w:val="left"/>
            </w:pPr>
            <w:r>
              <w:rPr>
                <w:rFonts w:hint="eastAsia"/>
              </w:rPr>
              <w:t>注：在投标文件中提供采购合同佐证（含首页、设备清单页、签字或盖章页复印件），未按要求提供的业绩或用其他产品冒充或提供虚假业绩，业绩不予认可。</w:t>
            </w:r>
          </w:p>
        </w:tc>
        <w:tc>
          <w:tcPr>
            <w:tcW w:w="879" w:type="dxa"/>
          </w:tcPr>
          <w:p w14:paraId="7C601BD0">
            <w:pPr>
              <w:widowControl/>
              <w:jc w:val="left"/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分</w:t>
            </w:r>
          </w:p>
        </w:tc>
        <w:tc>
          <w:tcPr>
            <w:tcW w:w="878" w:type="dxa"/>
          </w:tcPr>
          <w:p w14:paraId="24B19658">
            <w:pPr>
              <w:widowControl/>
              <w:jc w:val="left"/>
            </w:pPr>
          </w:p>
        </w:tc>
      </w:tr>
      <w:tr w14:paraId="539C8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Merge w:val="continue"/>
          </w:tcPr>
          <w:p w14:paraId="70D1E80C">
            <w:pPr>
              <w:widowControl/>
              <w:jc w:val="left"/>
            </w:pPr>
          </w:p>
        </w:tc>
        <w:tc>
          <w:tcPr>
            <w:tcW w:w="1758" w:type="dxa"/>
          </w:tcPr>
          <w:p w14:paraId="34876F50">
            <w:pPr>
              <w:widowControl/>
              <w:jc w:val="left"/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体系认证证书</w:t>
            </w:r>
          </w:p>
        </w:tc>
        <w:tc>
          <w:tcPr>
            <w:tcW w:w="4836" w:type="dxa"/>
          </w:tcPr>
          <w:p w14:paraId="6A12CB0A">
            <w:pPr>
              <w:widowControl/>
              <w:jc w:val="left"/>
            </w:pPr>
            <w:r>
              <w:rPr>
                <w:rFonts w:hint="eastAsia"/>
              </w:rPr>
              <w:t>所提供产品制造商提供以下证书：</w:t>
            </w:r>
          </w:p>
          <w:p w14:paraId="6A04BED4">
            <w:pPr>
              <w:pStyle w:val="10"/>
              <w:widowControl/>
              <w:numPr>
                <w:ilvl w:val="0"/>
                <w:numId w:val="1"/>
              </w:numPr>
              <w:shd w:val="clear" w:fill="FFFFFF" w:themeFill="background1"/>
              <w:ind w:firstLineChars="0"/>
              <w:jc w:val="left"/>
              <w:rPr>
                <w:rFonts w:hint="eastAsia" w:eastAsiaTheme="minor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产品制造商通过ISO20000信息技术服务管理体系认证证书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，提供相关证书得1分，否则不得分。</w:t>
            </w:r>
          </w:p>
          <w:p w14:paraId="100219EA">
            <w:pPr>
              <w:pStyle w:val="10"/>
              <w:widowControl/>
              <w:numPr>
                <w:ilvl w:val="0"/>
                <w:numId w:val="1"/>
              </w:numPr>
              <w:ind w:firstLineChars="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产品制造商通过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GB-T29490知识产权管理体系认证，提供相关证书得1分，否则不得分。</w:t>
            </w:r>
          </w:p>
          <w:p w14:paraId="171007A5">
            <w:pPr>
              <w:pStyle w:val="10"/>
              <w:widowControl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产品制造商通过</w:t>
            </w:r>
            <w:r>
              <w:t>ISO 27001信息安全管理体系认证，提供相关证书得1分，否则不得分。</w:t>
            </w:r>
          </w:p>
        </w:tc>
        <w:tc>
          <w:tcPr>
            <w:tcW w:w="879" w:type="dxa"/>
          </w:tcPr>
          <w:p w14:paraId="368AA69E">
            <w:pPr>
              <w:widowControl/>
              <w:jc w:val="left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分</w:t>
            </w:r>
          </w:p>
        </w:tc>
        <w:tc>
          <w:tcPr>
            <w:tcW w:w="878" w:type="dxa"/>
          </w:tcPr>
          <w:p w14:paraId="3EDB4D7C">
            <w:pPr>
              <w:widowControl/>
              <w:jc w:val="left"/>
            </w:pPr>
          </w:p>
        </w:tc>
      </w:tr>
      <w:tr w14:paraId="5FFBA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Merge w:val="continue"/>
          </w:tcPr>
          <w:p w14:paraId="2D2F4678">
            <w:pPr>
              <w:widowControl/>
              <w:jc w:val="left"/>
            </w:pPr>
          </w:p>
        </w:tc>
        <w:tc>
          <w:tcPr>
            <w:tcW w:w="1758" w:type="dxa"/>
          </w:tcPr>
          <w:p w14:paraId="65714C06">
            <w:pPr>
              <w:widowControl/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  <w:t>售后期限</w:t>
            </w:r>
          </w:p>
        </w:tc>
        <w:tc>
          <w:tcPr>
            <w:tcW w:w="4836" w:type="dxa"/>
          </w:tcPr>
          <w:p w14:paraId="0D048D47">
            <w:pPr>
              <w:pStyle w:val="10"/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>售后服务需至少提供三年保障，每延长一年加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default"/>
                <w:lang w:val="en-US" w:eastAsia="zh-CN"/>
              </w:rPr>
              <w:t>分。</w:t>
            </w:r>
          </w:p>
        </w:tc>
        <w:tc>
          <w:tcPr>
            <w:tcW w:w="879" w:type="dxa"/>
          </w:tcPr>
          <w:p w14:paraId="2C47786E">
            <w:pPr>
              <w:widowControl/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878" w:type="dxa"/>
          </w:tcPr>
          <w:p w14:paraId="2F4F3251">
            <w:pPr>
              <w:widowControl/>
              <w:jc w:val="left"/>
            </w:pPr>
          </w:p>
        </w:tc>
      </w:tr>
      <w:tr w14:paraId="1EBBF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8201" w:type="dxa"/>
            <w:gridSpan w:val="3"/>
            <w:vAlign w:val="center"/>
          </w:tcPr>
          <w:p w14:paraId="5F4BFD52">
            <w:pPr>
              <w:widowControl/>
              <w:jc w:val="right"/>
              <w:rPr>
                <w:rFonts w:hint="eastAsi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合计：</w:t>
            </w:r>
          </w:p>
        </w:tc>
        <w:tc>
          <w:tcPr>
            <w:tcW w:w="879" w:type="dxa"/>
            <w:vAlign w:val="center"/>
          </w:tcPr>
          <w:p w14:paraId="690AF7B5">
            <w:pPr>
              <w:widowControl/>
              <w:jc w:val="left"/>
              <w:rPr>
                <w:rFonts w:hint="eastAsia"/>
              </w:rPr>
            </w:pPr>
            <w:r>
              <w:t>60</w:t>
            </w:r>
            <w:r>
              <w:rPr>
                <w:rFonts w:hint="eastAsia"/>
              </w:rPr>
              <w:t>分</w:t>
            </w:r>
          </w:p>
        </w:tc>
        <w:tc>
          <w:tcPr>
            <w:tcW w:w="878" w:type="dxa"/>
            <w:vAlign w:val="center"/>
          </w:tcPr>
          <w:p w14:paraId="68C4AA68">
            <w:pPr>
              <w:widowControl/>
              <w:jc w:val="left"/>
            </w:pPr>
          </w:p>
        </w:tc>
      </w:tr>
    </w:tbl>
    <w:p w14:paraId="5C7D5890">
      <w:pPr>
        <w:widowControl/>
        <w:jc w:val="left"/>
      </w:pPr>
    </w:p>
    <w:p w14:paraId="0F0DD67C">
      <w:pPr>
        <w:widowControl/>
        <w:jc w:val="left"/>
        <w:rPr>
          <w:rFonts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评委签字：</w:t>
      </w:r>
    </w:p>
    <w:p w14:paraId="448F166C">
      <w:pPr>
        <w:widowControl/>
        <w:jc w:val="left"/>
        <w:rPr>
          <w:rFonts w:hint="eastAsi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D16905"/>
    <w:multiLevelType w:val="multilevel"/>
    <w:tmpl w:val="56D1690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30165D"/>
    <w:rsid w:val="04F648D9"/>
    <w:rsid w:val="1BC7354C"/>
    <w:rsid w:val="29F821F7"/>
    <w:rsid w:val="2BE142DA"/>
    <w:rsid w:val="517D3175"/>
    <w:rsid w:val="5988752E"/>
    <w:rsid w:val="6F69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1107</Words>
  <Characters>1194</Characters>
  <Lines>8</Lines>
  <Paragraphs>2</Paragraphs>
  <TotalTime>11</TotalTime>
  <ScaleCrop>false</ScaleCrop>
  <LinksUpToDate>false</LinksUpToDate>
  <CharactersWithSpaces>1201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2025-04-16T10:25:00Z</dcterms:created>
  <dc:creator>long vee</dc:creator>
  <cp:lastModifiedBy>系统管理员</cp:lastModifiedBy>
  <dcterms:modified xsi:type="dcterms:W3CDTF">2025-07-09T06:35:05Z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eyJoZGlkIjoiN2JhN2Y4ZjdmZjNjMmJjZjhjOTQ0YTFlM2Y5ZGZjMTAiLCJ1c2VySWQiOiIxNDc4MjUzOTIwIn0=</vt:lpwstr>
  </property>
  <property fmtid="{D5CDD505-2E9C-101B-9397-08002B2CF9AE}" pid="3" name="KSOProductBuildVer">
    <vt:lpwstr>2052-12.1.0.20784</vt:lpwstr>
  </property>
  <property fmtid="{D5CDD505-2E9C-101B-9397-08002B2CF9AE}" pid="4" name="ICV">
    <vt:lpwstr>9BE00D04B6C642AC92F453F9A1B5182A_13</vt:lpwstr>
  </property>
</Properties>
</file>