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hAnsi="宋体" w:cs="宋体"/>
          <w:sz w:val="28"/>
          <w:szCs w:val="28"/>
          <w:highlight w:val="none"/>
        </w:rPr>
      </w:pPr>
      <w:bookmarkStart w:id="0" w:name="_Toc287602110"/>
    </w:p>
    <w:p>
      <w:pPr>
        <w:spacing w:line="360" w:lineRule="auto"/>
        <w:jc w:val="center"/>
        <w:outlineLvl w:val="0"/>
        <w:rPr>
          <w:rFonts w:hAnsi="宋体" w:cs="宋体"/>
          <w:sz w:val="28"/>
          <w:szCs w:val="28"/>
          <w:highlight w:val="none"/>
        </w:rPr>
      </w:pPr>
    </w:p>
    <w:p>
      <w:pPr>
        <w:spacing w:line="360" w:lineRule="auto"/>
        <w:jc w:val="center"/>
        <w:rPr>
          <w:rFonts w:hAnsi="宋体" w:cs="宋体"/>
          <w:sz w:val="160"/>
          <w:szCs w:val="160"/>
          <w:highlight w:val="none"/>
        </w:rPr>
      </w:pPr>
      <w:r>
        <w:rPr>
          <w:rFonts w:hint="eastAsia" w:hAnsi="宋体" w:cs="宋体"/>
          <w:sz w:val="160"/>
          <w:szCs w:val="160"/>
          <w:highlight w:val="none"/>
        </w:rPr>
        <w:t>竞争性比选文件</w:t>
      </w: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5519"/>
      <w:bookmarkStart w:id="2" w:name="_Toc19113853"/>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pPr>
        <w:spacing w:line="360" w:lineRule="auto"/>
        <w:jc w:val="center"/>
        <w:rPr>
          <w:rFonts w:hAnsi="宋体" w:cs="宋体"/>
          <w:b/>
          <w:sz w:val="40"/>
          <w:szCs w:val="40"/>
          <w:highlight w:val="none"/>
        </w:rPr>
      </w:pPr>
      <w:r>
        <w:rPr>
          <w:rFonts w:hint="eastAsia" w:hAnsi="宋体" w:cs="宋体"/>
          <w:b/>
          <w:sz w:val="40"/>
          <w:szCs w:val="40"/>
          <w:highlight w:val="none"/>
        </w:rPr>
        <w:t>华龙网宣传服务采购</w:t>
      </w:r>
    </w:p>
    <w:p>
      <w:pPr>
        <w:spacing w:line="360" w:lineRule="auto"/>
        <w:ind w:firstLine="1273" w:firstLineChars="317"/>
        <w:jc w:val="left"/>
        <w:rPr>
          <w:rFonts w:hAnsi="宋体" w:cs="宋体"/>
          <w:b/>
          <w:sz w:val="40"/>
          <w:szCs w:val="40"/>
          <w:highlight w:val="none"/>
        </w:rPr>
      </w:pPr>
      <w:bookmarkStart w:id="3" w:name="_Toc19113854"/>
      <w:bookmarkStart w:id="4" w:name="_Toc19115520"/>
      <w:r>
        <w:rPr>
          <w:rFonts w:hint="eastAsia" w:hAnsi="宋体" w:cs="宋体"/>
          <w:b/>
          <w:sz w:val="40"/>
          <w:szCs w:val="40"/>
          <w:highlight w:val="none"/>
        </w:rPr>
        <w:t>项目号：KQYY20250</w:t>
      </w:r>
      <w:r>
        <w:rPr>
          <w:rFonts w:hint="eastAsia" w:hAnsi="宋体" w:cs="宋体"/>
          <w:b/>
          <w:sz w:val="40"/>
          <w:szCs w:val="40"/>
          <w:highlight w:val="none"/>
          <w:lang w:val="en-US" w:eastAsia="zh-CN"/>
        </w:rPr>
        <w:t>23</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pPr>
        <w:spacing w:line="360" w:lineRule="auto"/>
        <w:jc w:val="center"/>
        <w:rPr>
          <w:rFonts w:hAnsi="宋体" w:cs="宋体"/>
          <w:b/>
          <w:sz w:val="40"/>
          <w:szCs w:val="40"/>
          <w:highlight w:val="none"/>
        </w:rPr>
      </w:pPr>
    </w:p>
    <w:p>
      <w:pPr>
        <w:spacing w:line="360" w:lineRule="auto"/>
        <w:jc w:val="center"/>
        <w:rPr>
          <w:sz w:val="28"/>
          <w:szCs w:val="28"/>
          <w:highlight w:val="none"/>
        </w:rPr>
      </w:pPr>
      <w:bookmarkStart w:id="5" w:name="_Toc19115521"/>
      <w:r>
        <w:rPr>
          <w:rFonts w:hint="eastAsia" w:hAnsi="宋体" w:cs="宋体"/>
          <w:b/>
          <w:sz w:val="40"/>
          <w:szCs w:val="40"/>
          <w:highlight w:val="none"/>
        </w:rPr>
        <w:t>二○二五年</w:t>
      </w:r>
      <w:r>
        <w:rPr>
          <w:rFonts w:hint="eastAsia" w:hAnsi="宋体" w:cs="宋体"/>
          <w:b/>
          <w:sz w:val="40"/>
          <w:szCs w:val="40"/>
          <w:highlight w:val="none"/>
          <w:lang w:eastAsia="zh-CN"/>
        </w:rPr>
        <w:t>四</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Style w:val="15"/>
          <w:rFonts w:hint="eastAsia"/>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10"/>
        <w:tabs>
          <w:tab w:val="right" w:leader="dot" w:pos="9498"/>
        </w:tabs>
        <w:rPr>
          <w:highlight w:val="none"/>
        </w:rPr>
      </w:pPr>
      <w:r>
        <w:rPr>
          <w:highlight w:val="none"/>
        </w:rPr>
        <w:fldChar w:fldCharType="begin"/>
      </w:r>
      <w:r>
        <w:rPr>
          <w:highlight w:val="none"/>
        </w:rPr>
        <w:instrText xml:space="preserve"> HYPERLINK \l "_Toc22117" </w:instrText>
      </w:r>
      <w:r>
        <w:rPr>
          <w:highlight w:val="none"/>
        </w:rPr>
        <w:fldChar w:fldCharType="separate"/>
      </w:r>
      <w:r>
        <w:rPr>
          <w:rFonts w:hint="eastAsia" w:ascii="宋体" w:hAnsi="宋体" w:cs="宋体"/>
          <w:bCs w:val="0"/>
          <w:szCs w:val="28"/>
          <w:highlight w:val="none"/>
        </w:rPr>
        <w:t>一、项目内容</w:t>
      </w:r>
      <w:r>
        <w:rPr>
          <w:highlight w:val="none"/>
        </w:rPr>
        <w:tab/>
      </w:r>
      <w:r>
        <w:rPr>
          <w:highlight w:val="none"/>
        </w:rPr>
        <w:fldChar w:fldCharType="begin"/>
      </w:r>
      <w:r>
        <w:rPr>
          <w:highlight w:val="none"/>
        </w:rPr>
        <w:instrText xml:space="preserve"> PAGEREF _Toc22117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"_Toc307" </w:instrText>
      </w:r>
      <w:r>
        <w:rPr>
          <w:highlight w:val="none"/>
        </w:rPr>
        <w:fldChar w:fldCharType="separate"/>
      </w:r>
      <w:r>
        <w:rPr>
          <w:rFonts w:hint="eastAsia"/>
          <w:highlight w:val="none"/>
        </w:rPr>
        <w:t>二、资金来源</w:t>
      </w:r>
      <w:r>
        <w:rPr>
          <w:highlight w:val="none"/>
        </w:rPr>
        <w:tab/>
      </w:r>
      <w:r>
        <w:rPr>
          <w:highlight w:val="none"/>
        </w:rPr>
        <w:fldChar w:fldCharType="begin"/>
      </w:r>
      <w:r>
        <w:rPr>
          <w:highlight w:val="none"/>
        </w:rPr>
        <w:instrText xml:space="preserve"> PAGEREF _Toc307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"_Toc17640" </w:instrText>
      </w:r>
      <w:r>
        <w:rPr>
          <w:highlight w:val="none"/>
        </w:rPr>
        <w:fldChar w:fldCharType="separate"/>
      </w:r>
      <w:r>
        <w:rPr>
          <w:rFonts w:hint="eastAsia"/>
          <w:szCs w:val="28"/>
          <w:highlight w:val="none"/>
        </w:rPr>
        <w:t>三、采购方式</w:t>
      </w:r>
      <w:r>
        <w:rPr>
          <w:highlight w:val="none"/>
        </w:rPr>
        <w:tab/>
      </w:r>
      <w:r>
        <w:rPr>
          <w:highlight w:val="none"/>
        </w:rPr>
        <w:fldChar w:fldCharType="begin"/>
      </w:r>
      <w:r>
        <w:rPr>
          <w:highlight w:val="none"/>
        </w:rPr>
        <w:instrText xml:space="preserve"> PAGEREF _Toc17640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"_Toc15640" </w:instrText>
      </w:r>
      <w:r>
        <w:rPr>
          <w:highlight w:val="none"/>
        </w:rPr>
        <w:fldChar w:fldCharType="separate"/>
      </w:r>
      <w:r>
        <w:rPr>
          <w:rFonts w:hint="eastAsia"/>
          <w:highlight w:val="none"/>
        </w:rPr>
        <w:t>四、投标人资格要求</w:t>
      </w:r>
      <w:r>
        <w:rPr>
          <w:highlight w:val="none"/>
        </w:rPr>
        <w:tab/>
      </w:r>
      <w:r>
        <w:rPr>
          <w:highlight w:val="none"/>
        </w:rPr>
        <w:fldChar w:fldCharType="begin"/>
      </w:r>
      <w:r>
        <w:rPr>
          <w:highlight w:val="none"/>
        </w:rPr>
        <w:instrText xml:space="preserve"> PAGEREF _Toc15640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"_Toc7050" </w:instrText>
      </w:r>
      <w:r>
        <w:rPr>
          <w:highlight w:val="none"/>
        </w:rPr>
        <w:fldChar w:fldCharType="separate"/>
      </w:r>
      <w:r>
        <w:rPr>
          <w:rFonts w:hint="eastAsia"/>
          <w:highlight w:val="none"/>
        </w:rPr>
        <w:t>五、比选文件获取及投标时间要求</w:t>
      </w:r>
      <w:r>
        <w:rPr>
          <w:highlight w:val="none"/>
        </w:rPr>
        <w:tab/>
      </w:r>
      <w:r>
        <w:rPr>
          <w:highlight w:val="none"/>
        </w:rPr>
        <w:fldChar w:fldCharType="begin"/>
      </w:r>
      <w:r>
        <w:rPr>
          <w:highlight w:val="none"/>
        </w:rPr>
        <w:instrText xml:space="preserve"> PAGEREF _Toc7050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"_Toc14432" </w:instrText>
      </w:r>
      <w:r>
        <w:rPr>
          <w:highlight w:val="none"/>
        </w:rPr>
        <w:fldChar w:fldCharType="separate"/>
      </w:r>
      <w:r>
        <w:rPr>
          <w:rFonts w:hint="eastAsia"/>
          <w:highlight w:val="none"/>
        </w:rPr>
        <w:t>六、其它有关规定</w:t>
      </w:r>
      <w:r>
        <w:rPr>
          <w:highlight w:val="none"/>
        </w:rPr>
        <w:tab/>
      </w:r>
      <w:r>
        <w:rPr>
          <w:highlight w:val="none"/>
        </w:rPr>
        <w:fldChar w:fldCharType="begin"/>
      </w:r>
      <w:r>
        <w:rPr>
          <w:highlight w:val="none"/>
        </w:rPr>
        <w:instrText xml:space="preserve"> PAGEREF _Toc14432 \h </w:instrText>
      </w:r>
      <w:r>
        <w:rPr>
          <w:highlight w:val="none"/>
        </w:rPr>
        <w:fldChar w:fldCharType="separate"/>
      </w:r>
      <w:r>
        <w:rPr>
          <w:highlight w:val="none"/>
        </w:rPr>
        <w:t>5</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"_Toc20941" </w:instrText>
      </w:r>
      <w:r>
        <w:rPr>
          <w:highlight w:val="none"/>
        </w:rPr>
        <w:fldChar w:fldCharType="separate"/>
      </w:r>
      <w:r>
        <w:rPr>
          <w:rFonts w:hint="eastAsia"/>
          <w:highlight w:val="none"/>
        </w:rPr>
        <w:t>七、联系方式</w:t>
      </w:r>
      <w:r>
        <w:rPr>
          <w:highlight w:val="none"/>
        </w:rPr>
        <w:tab/>
      </w:r>
      <w:r>
        <w:rPr>
          <w:highlight w:val="none"/>
        </w:rPr>
        <w:fldChar w:fldCharType="begin"/>
      </w:r>
      <w:r>
        <w:rPr>
          <w:highlight w:val="none"/>
        </w:rPr>
        <w:instrText xml:space="preserve"> PAGEREF _Toc20941 \h </w:instrText>
      </w:r>
      <w:r>
        <w:rPr>
          <w:highlight w:val="none"/>
        </w:rPr>
        <w:fldChar w:fldCharType="separate"/>
      </w:r>
      <w:r>
        <w:rPr>
          <w:highlight w:val="none"/>
        </w:rPr>
        <w:t>6</w:t>
      </w:r>
      <w:r>
        <w:rPr>
          <w:highlight w:val="none"/>
        </w:rPr>
        <w:fldChar w:fldCharType="end"/>
      </w:r>
      <w:r>
        <w:rPr>
          <w:highlight w:val="none"/>
        </w:rPr>
        <w:fldChar w:fldCharType="end"/>
      </w:r>
    </w:p>
    <w:p>
      <w:pPr>
        <w:pStyle w:val="9"/>
        <w:tabs>
          <w:tab w:val="right" w:leader="dot" w:pos="9498"/>
        </w:tabs>
        <w:rPr>
          <w:highlight w:val="none"/>
        </w:rPr>
      </w:pPr>
      <w:r>
        <w:rPr>
          <w:highlight w:val="none"/>
        </w:rPr>
        <w:fldChar w:fldCharType="begin"/>
      </w:r>
      <w:r>
        <w:rPr>
          <w:highlight w:val="none"/>
        </w:rPr>
        <w:instrText xml:space="preserve"> HYPERLINK \l "_Toc11371" </w:instrText>
      </w:r>
      <w:r>
        <w:rPr>
          <w:highlight w:val="none"/>
        </w:rPr>
        <w:fldChar w:fldCharType="separate"/>
      </w:r>
      <w:r>
        <w:rPr>
          <w:rFonts w:hint="eastAsia" w:hAnsi="宋体" w:cs="宋体"/>
          <w:highlight w:val="none"/>
        </w:rPr>
        <w:t>第二篇 项目技术要求</w:t>
      </w:r>
      <w:r>
        <w:rPr>
          <w:highlight w:val="none"/>
        </w:rPr>
        <w:tab/>
      </w:r>
      <w:r>
        <w:rPr>
          <w:highlight w:val="none"/>
        </w:rPr>
        <w:fldChar w:fldCharType="begin"/>
      </w:r>
      <w:r>
        <w:rPr>
          <w:highlight w:val="none"/>
        </w:rPr>
        <w:instrText xml:space="preserve"> PAGEREF _Toc11371 \h </w:instrText>
      </w:r>
      <w:r>
        <w:rPr>
          <w:highlight w:val="none"/>
        </w:rPr>
        <w:fldChar w:fldCharType="separate"/>
      </w:r>
      <w:r>
        <w:rPr>
          <w:highlight w:val="none"/>
        </w:rPr>
        <w:t>7</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"_Toc976" </w:instrText>
      </w:r>
      <w:r>
        <w:rPr>
          <w:highlight w:val="none"/>
        </w:rPr>
        <w:fldChar w:fldCharType="separate"/>
      </w:r>
      <w:r>
        <w:rPr>
          <w:rFonts w:hint="eastAsia"/>
          <w:highlight w:val="none"/>
        </w:rPr>
        <w:t>一、采购项目一览表</w:t>
      </w:r>
      <w:r>
        <w:rPr>
          <w:highlight w:val="none"/>
        </w:rPr>
        <w:tab/>
      </w:r>
      <w:r>
        <w:rPr>
          <w:highlight w:val="none"/>
        </w:rPr>
        <w:fldChar w:fldCharType="begin"/>
      </w:r>
      <w:r>
        <w:rPr>
          <w:highlight w:val="none"/>
        </w:rPr>
        <w:instrText xml:space="preserve"> PAGEREF _Toc976 \h </w:instrText>
      </w:r>
      <w:r>
        <w:rPr>
          <w:highlight w:val="none"/>
        </w:rPr>
        <w:fldChar w:fldCharType="separate"/>
      </w:r>
      <w:r>
        <w:rPr>
          <w:highlight w:val="none"/>
        </w:rPr>
        <w:t>7</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"_Toc29719" </w:instrText>
      </w:r>
      <w:r>
        <w:rPr>
          <w:highlight w:val="none"/>
        </w:rPr>
        <w:fldChar w:fldCharType="separate"/>
      </w:r>
      <w:r>
        <w:rPr>
          <w:rFonts w:hint="eastAsia"/>
          <w:highlight w:val="none"/>
        </w:rPr>
        <w:t>二、采购项目技术/服务要求</w:t>
      </w:r>
      <w:r>
        <w:rPr>
          <w:highlight w:val="none"/>
        </w:rPr>
        <w:tab/>
      </w:r>
      <w:r>
        <w:rPr>
          <w:highlight w:val="none"/>
        </w:rPr>
        <w:fldChar w:fldCharType="begin"/>
      </w:r>
      <w:r>
        <w:rPr>
          <w:highlight w:val="none"/>
        </w:rPr>
        <w:instrText xml:space="preserve"> PAGEREF _Toc29719 \h </w:instrText>
      </w:r>
      <w:r>
        <w:rPr>
          <w:highlight w:val="none"/>
        </w:rPr>
        <w:fldChar w:fldCharType="separate"/>
      </w:r>
      <w:r>
        <w:rPr>
          <w:highlight w:val="none"/>
        </w:rPr>
        <w:t>7</w:t>
      </w:r>
      <w:r>
        <w:rPr>
          <w:highlight w:val="none"/>
        </w:rPr>
        <w:fldChar w:fldCharType="end"/>
      </w:r>
      <w:r>
        <w:rPr>
          <w:highlight w:val="none"/>
        </w:rPr>
        <w:fldChar w:fldCharType="end"/>
      </w:r>
    </w:p>
    <w:p>
      <w:pPr>
        <w:pStyle w:val="9"/>
        <w:tabs>
          <w:tab w:val="right" w:leader="dot" w:pos="9498"/>
        </w:tabs>
        <w:rPr>
          <w:highlight w:val="none"/>
        </w:rPr>
      </w:pPr>
      <w:r>
        <w:rPr>
          <w:highlight w:val="none"/>
        </w:rPr>
        <w:fldChar w:fldCharType="begin"/>
      </w:r>
      <w:r>
        <w:rPr>
          <w:highlight w:val="none"/>
        </w:rPr>
        <w:instrText xml:space="preserve"> HYPERLINK \l "_Toc31562" </w:instrText>
      </w:r>
      <w:r>
        <w:rPr>
          <w:highlight w:val="none"/>
        </w:rPr>
        <w:fldChar w:fldCharType="separate"/>
      </w:r>
      <w:r>
        <w:rPr>
          <w:rFonts w:hint="eastAsia" w:hAnsi="宋体" w:cs="宋体"/>
          <w:highlight w:val="none"/>
        </w:rPr>
        <w:t>第三篇 项目商务要求</w:t>
      </w:r>
      <w:r>
        <w:rPr>
          <w:highlight w:val="none"/>
        </w:rPr>
        <w:tab/>
      </w:r>
      <w:r>
        <w:rPr>
          <w:highlight w:val="none"/>
        </w:rPr>
        <w:fldChar w:fldCharType="begin"/>
      </w:r>
      <w:r>
        <w:rPr>
          <w:highlight w:val="none"/>
        </w:rPr>
        <w:instrText xml:space="preserve"> PAGEREF _Toc31562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"_Toc27468" </w:instrText>
      </w:r>
      <w:r>
        <w:rPr>
          <w:highlight w:val="none"/>
        </w:rPr>
        <w:fldChar w:fldCharType="separate"/>
      </w:r>
      <w:r>
        <w:rPr>
          <w:rFonts w:hint="eastAsia" w:ascii="宋体" w:hAnsi="宋体" w:cs="宋体"/>
          <w:bCs w:val="0"/>
          <w:szCs w:val="24"/>
          <w:highlight w:val="none"/>
        </w:rPr>
        <w:t>一、服务期</w:t>
      </w:r>
      <w:r>
        <w:rPr>
          <w:highlight w:val="none"/>
        </w:rPr>
        <w:tab/>
      </w:r>
      <w:r>
        <w:rPr>
          <w:highlight w:val="none"/>
        </w:rPr>
        <w:fldChar w:fldCharType="begin"/>
      </w:r>
      <w:r>
        <w:rPr>
          <w:highlight w:val="none"/>
        </w:rPr>
        <w:instrText xml:space="preserve"> PAGEREF _Toc27468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"_Toc8554" </w:instrText>
      </w:r>
      <w:r>
        <w:rPr>
          <w:highlight w:val="none"/>
        </w:rPr>
        <w:fldChar w:fldCharType="separate"/>
      </w:r>
      <w:r>
        <w:rPr>
          <w:rFonts w:hint="eastAsia" w:ascii="宋体" w:hAnsi="宋体" w:cs="宋体"/>
          <w:bCs w:val="0"/>
          <w:szCs w:val="24"/>
          <w:highlight w:val="none"/>
        </w:rPr>
        <w:t>二、报价要求</w:t>
      </w:r>
      <w:r>
        <w:rPr>
          <w:highlight w:val="none"/>
        </w:rPr>
        <w:tab/>
      </w:r>
      <w:r>
        <w:rPr>
          <w:highlight w:val="none"/>
        </w:rPr>
        <w:fldChar w:fldCharType="begin"/>
      </w:r>
      <w:r>
        <w:rPr>
          <w:highlight w:val="none"/>
        </w:rPr>
        <w:instrText xml:space="preserve"> PAGEREF _Toc8554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"_Toc26576" </w:instrText>
      </w:r>
      <w:r>
        <w:rPr>
          <w:highlight w:val="none"/>
        </w:rPr>
        <w:fldChar w:fldCharType="separate"/>
      </w:r>
      <w:r>
        <w:rPr>
          <w:rFonts w:hint="eastAsia" w:ascii="宋体" w:hAnsi="宋体" w:cs="宋体"/>
          <w:bCs w:val="0"/>
          <w:szCs w:val="24"/>
          <w:highlight w:val="none"/>
        </w:rPr>
        <w:t>三、质量保证及售后服务</w:t>
      </w:r>
      <w:r>
        <w:rPr>
          <w:highlight w:val="none"/>
        </w:rPr>
        <w:tab/>
      </w:r>
      <w:r>
        <w:rPr>
          <w:highlight w:val="none"/>
        </w:rPr>
        <w:fldChar w:fldCharType="begin"/>
      </w:r>
      <w:r>
        <w:rPr>
          <w:highlight w:val="none"/>
        </w:rPr>
        <w:instrText xml:space="preserve"> PAGEREF _Toc26576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"_Toc10443" </w:instrText>
      </w:r>
      <w:r>
        <w:rPr>
          <w:highlight w:val="none"/>
        </w:rPr>
        <w:fldChar w:fldCharType="separate"/>
      </w:r>
      <w:r>
        <w:rPr>
          <w:rFonts w:hint="eastAsia" w:ascii="宋体" w:hAnsi="宋体" w:cs="宋体"/>
          <w:bCs w:val="0"/>
          <w:szCs w:val="24"/>
          <w:highlight w:val="none"/>
        </w:rPr>
        <w:t>四、付款方式</w:t>
      </w:r>
      <w:r>
        <w:rPr>
          <w:highlight w:val="none"/>
        </w:rPr>
        <w:tab/>
      </w:r>
      <w:r>
        <w:rPr>
          <w:highlight w:val="none"/>
        </w:rPr>
        <w:fldChar w:fldCharType="begin"/>
      </w:r>
      <w:r>
        <w:rPr>
          <w:highlight w:val="none"/>
        </w:rPr>
        <w:instrText xml:space="preserve"> PAGEREF _Toc10443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"_Toc32260" </w:instrText>
      </w:r>
      <w:r>
        <w:rPr>
          <w:highlight w:val="none"/>
        </w:rPr>
        <w:fldChar w:fldCharType="separate"/>
      </w:r>
      <w:r>
        <w:rPr>
          <w:rFonts w:hint="eastAsia" w:ascii="宋体" w:hAnsi="宋体" w:cs="宋体"/>
          <w:bCs w:val="0"/>
          <w:szCs w:val="24"/>
          <w:highlight w:val="none"/>
        </w:rPr>
        <w:t>五、知识产权</w:t>
      </w:r>
      <w:r>
        <w:rPr>
          <w:highlight w:val="none"/>
        </w:rPr>
        <w:tab/>
      </w:r>
      <w:r>
        <w:rPr>
          <w:highlight w:val="none"/>
        </w:rPr>
        <w:fldChar w:fldCharType="begin"/>
      </w:r>
      <w:r>
        <w:rPr>
          <w:highlight w:val="none"/>
        </w:rPr>
        <w:instrText xml:space="preserve"> PAGEREF _Toc32260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"_Toc30672" </w:instrText>
      </w:r>
      <w:r>
        <w:rPr>
          <w:highlight w:val="none"/>
        </w:rPr>
        <w:fldChar w:fldCharType="separate"/>
      </w:r>
      <w:r>
        <w:rPr>
          <w:rFonts w:hint="eastAsia" w:ascii="宋体" w:hAnsi="宋体" w:cs="宋体"/>
          <w:bCs w:val="0"/>
          <w:szCs w:val="24"/>
          <w:highlight w:val="none"/>
        </w:rPr>
        <w:t>七、其他商务要求内容</w:t>
      </w:r>
      <w:r>
        <w:rPr>
          <w:highlight w:val="none"/>
        </w:rPr>
        <w:tab/>
      </w:r>
      <w:r>
        <w:rPr>
          <w:highlight w:val="none"/>
        </w:rPr>
        <w:fldChar w:fldCharType="begin"/>
      </w:r>
      <w:r>
        <w:rPr>
          <w:highlight w:val="none"/>
        </w:rPr>
        <w:instrText xml:space="preserve"> PAGEREF _Toc30672 \h </w:instrText>
      </w:r>
      <w:r>
        <w:rPr>
          <w:highlight w:val="none"/>
        </w:rPr>
        <w:fldChar w:fldCharType="separate"/>
      </w:r>
      <w:r>
        <w:rPr>
          <w:highlight w:val="none"/>
        </w:rPr>
        <w:t>8</w:t>
      </w:r>
      <w:r>
        <w:rPr>
          <w:highlight w:val="none"/>
        </w:rPr>
        <w:fldChar w:fldCharType="end"/>
      </w:r>
      <w:r>
        <w:rPr>
          <w:highlight w:val="none"/>
        </w:rPr>
        <w:fldChar w:fldCharType="end"/>
      </w:r>
    </w:p>
    <w:p>
      <w:pPr>
        <w:pStyle w:val="9"/>
        <w:tabs>
          <w:tab w:val="right" w:leader="dot" w:pos="9498"/>
        </w:tabs>
        <w:rPr>
          <w:highlight w:val="none"/>
        </w:rPr>
      </w:pPr>
      <w:r>
        <w:rPr>
          <w:highlight w:val="none"/>
        </w:rPr>
        <w:fldChar w:fldCharType="begin"/>
      </w:r>
      <w:r>
        <w:rPr>
          <w:highlight w:val="none"/>
        </w:rPr>
        <w:instrText xml:space="preserve"> HYPERLINK \l "_Toc6193" </w:instrText>
      </w:r>
      <w:r>
        <w:rPr>
          <w:highlight w:val="none"/>
        </w:rPr>
        <w:fldChar w:fldCharType="separate"/>
      </w:r>
      <w:r>
        <w:rPr>
          <w:rFonts w:hint="eastAsia" w:hAnsi="宋体" w:cs="宋体"/>
          <w:highlight w:val="none"/>
        </w:rPr>
        <w:t>第四篇 资格审查及评分办法</w:t>
      </w:r>
      <w:r>
        <w:rPr>
          <w:highlight w:val="none"/>
        </w:rPr>
        <w:tab/>
      </w:r>
      <w:r>
        <w:rPr>
          <w:highlight w:val="none"/>
        </w:rPr>
        <w:fldChar w:fldCharType="begin"/>
      </w:r>
      <w:r>
        <w:rPr>
          <w:highlight w:val="none"/>
        </w:rPr>
        <w:instrText xml:space="preserve"> PAGEREF _Toc6193 \h </w:instrText>
      </w:r>
      <w:r>
        <w:rPr>
          <w:highlight w:val="none"/>
        </w:rPr>
        <w:fldChar w:fldCharType="separate"/>
      </w:r>
      <w:r>
        <w:rPr>
          <w:highlight w:val="none"/>
        </w:rPr>
        <w:t>10</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"_Toc24365" </w:instrText>
      </w:r>
      <w:r>
        <w:rPr>
          <w:highlight w:val="none"/>
        </w:rPr>
        <w:fldChar w:fldCharType="separate"/>
      </w:r>
      <w:r>
        <w:rPr>
          <w:rFonts w:hint="eastAsia"/>
          <w:highlight w:val="none"/>
        </w:rPr>
        <w:t>一、资格审查</w:t>
      </w:r>
      <w:r>
        <w:rPr>
          <w:highlight w:val="none"/>
        </w:rPr>
        <w:tab/>
      </w:r>
      <w:r>
        <w:rPr>
          <w:highlight w:val="none"/>
        </w:rPr>
        <w:fldChar w:fldCharType="begin"/>
      </w:r>
      <w:r>
        <w:rPr>
          <w:highlight w:val="none"/>
        </w:rPr>
        <w:instrText xml:space="preserve"> PAGEREF _Toc24365 \h </w:instrText>
      </w:r>
      <w:r>
        <w:rPr>
          <w:highlight w:val="none"/>
        </w:rPr>
        <w:fldChar w:fldCharType="separate"/>
      </w:r>
      <w:r>
        <w:rPr>
          <w:highlight w:val="none"/>
        </w:rPr>
        <w:t>10</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"_Toc23949" </w:instrText>
      </w:r>
      <w:r>
        <w:rPr>
          <w:highlight w:val="none"/>
        </w:rPr>
        <w:fldChar w:fldCharType="separate"/>
      </w:r>
      <w:r>
        <w:rPr>
          <w:rFonts w:hint="eastAsia"/>
          <w:highlight w:val="none"/>
        </w:rPr>
        <w:t>二、评标方法</w:t>
      </w:r>
      <w:r>
        <w:rPr>
          <w:highlight w:val="none"/>
        </w:rPr>
        <w:tab/>
      </w:r>
      <w:r>
        <w:rPr>
          <w:highlight w:val="none"/>
        </w:rPr>
        <w:fldChar w:fldCharType="begin"/>
      </w:r>
      <w:r>
        <w:rPr>
          <w:highlight w:val="none"/>
        </w:rPr>
        <w:instrText xml:space="preserve"> PAGEREF _Toc23949 \h </w:instrText>
      </w:r>
      <w:r>
        <w:rPr>
          <w:highlight w:val="none"/>
        </w:rPr>
        <w:fldChar w:fldCharType="separate"/>
      </w:r>
      <w:r>
        <w:rPr>
          <w:highlight w:val="none"/>
        </w:rPr>
        <w:t>10</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"_Toc17765" </w:instrText>
      </w:r>
      <w:r>
        <w:rPr>
          <w:highlight w:val="none"/>
        </w:rPr>
        <w:fldChar w:fldCharType="separate"/>
      </w:r>
      <w:r>
        <w:rPr>
          <w:rFonts w:hint="eastAsia"/>
          <w:highlight w:val="none"/>
        </w:rPr>
        <w:t>三、</w:t>
      </w:r>
      <w:r>
        <w:rPr>
          <w:rFonts w:hint="eastAsia" w:ascii="宋体" w:hAnsi="宋体" w:eastAsia="宋体" w:cs="宋体"/>
          <w:highlight w:val="none"/>
        </w:rPr>
        <w:t>无效投标条款</w:t>
      </w:r>
      <w:r>
        <w:rPr>
          <w:highlight w:val="none"/>
        </w:rPr>
        <w:tab/>
      </w:r>
      <w:r>
        <w:rPr>
          <w:highlight w:val="none"/>
        </w:rPr>
        <w:fldChar w:fldCharType="begin"/>
      </w:r>
      <w:r>
        <w:rPr>
          <w:highlight w:val="none"/>
        </w:rPr>
        <w:instrText xml:space="preserve"> PAGEREF _Toc17765 \h </w:instrText>
      </w:r>
      <w:r>
        <w:rPr>
          <w:highlight w:val="none"/>
        </w:rPr>
        <w:fldChar w:fldCharType="separate"/>
      </w:r>
      <w:r>
        <w:rPr>
          <w:highlight w:val="none"/>
        </w:rPr>
        <w:t>11</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宋体" w:hAnsi="宋体" w:cs="宋体"/>
          <w:highlight w:val="none"/>
        </w:rPr>
        <w:t>四</w:t>
      </w:r>
      <w:r>
        <w:rPr>
          <w:rFonts w:hint="eastAsia" w:ascii="宋体" w:hAnsi="宋体" w:eastAsia="宋体" w:cs="宋体"/>
          <w:highlight w:val="none"/>
        </w:rPr>
        <w:t>、废标条款</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12</w:t>
      </w:r>
      <w:r>
        <w:rPr>
          <w:highlight w:val="none"/>
        </w:rPr>
        <w:fldChar w:fldCharType="end"/>
      </w:r>
      <w:r>
        <w:rPr>
          <w:highlight w:val="none"/>
        </w:rPr>
        <w:fldChar w:fldCharType="end"/>
      </w:r>
    </w:p>
    <w:p>
      <w:pPr>
        <w:pStyle w:val="9"/>
        <w:tabs>
          <w:tab w:val="right" w:leader="dot" w:pos="9498"/>
        </w:tabs>
        <w:rPr>
          <w:highlight w:val="none"/>
        </w:rPr>
      </w:pPr>
      <w:r>
        <w:rPr>
          <w:highlight w:val="none"/>
        </w:rPr>
        <w:fldChar w:fldCharType="begin"/>
      </w:r>
      <w:r>
        <w:rPr>
          <w:highlight w:val="none"/>
        </w:rPr>
        <w:instrText xml:space="preserve"> HYPERLINK \l "_Toc30592" </w:instrText>
      </w:r>
      <w:r>
        <w:rPr>
          <w:highlight w:val="none"/>
        </w:rPr>
        <w:fldChar w:fldCharType="separate"/>
      </w:r>
      <w:r>
        <w:rPr>
          <w:rFonts w:hint="eastAsia" w:hAnsi="宋体"/>
          <w:highlight w:val="none"/>
        </w:rPr>
        <w:t>第五篇  投标人须知</w:t>
      </w:r>
      <w:r>
        <w:rPr>
          <w:highlight w:val="none"/>
        </w:rPr>
        <w:tab/>
      </w:r>
      <w:r>
        <w:rPr>
          <w:highlight w:val="none"/>
        </w:rPr>
        <w:fldChar w:fldCharType="begin"/>
      </w:r>
      <w:r>
        <w:rPr>
          <w:highlight w:val="none"/>
        </w:rPr>
        <w:instrText xml:space="preserve"> PAGEREF _Toc30592 \h </w:instrText>
      </w:r>
      <w:r>
        <w:rPr>
          <w:highlight w:val="none"/>
        </w:rPr>
        <w:fldChar w:fldCharType="separate"/>
      </w:r>
      <w:r>
        <w:rPr>
          <w:highlight w:val="none"/>
        </w:rPr>
        <w:t>13</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"_Toc25416" </w:instrText>
      </w:r>
      <w:r>
        <w:rPr>
          <w:highlight w:val="none"/>
        </w:rPr>
        <w:fldChar w:fldCharType="separate"/>
      </w:r>
      <w:r>
        <w:rPr>
          <w:rFonts w:hint="eastAsia"/>
          <w:highlight w:val="none"/>
        </w:rPr>
        <w:t>一、</w:t>
      </w:r>
      <w:r>
        <w:rPr>
          <w:rFonts w:hint="eastAsia" w:ascii="宋体" w:hAnsi="宋体" w:eastAsia="宋体" w:cs="宋体"/>
          <w:highlight w:val="none"/>
        </w:rPr>
        <w:t>投标人</w:t>
      </w:r>
      <w:r>
        <w:rPr>
          <w:highlight w:val="none"/>
        </w:rPr>
        <w:tab/>
      </w:r>
      <w:r>
        <w:rPr>
          <w:highlight w:val="none"/>
        </w:rPr>
        <w:fldChar w:fldCharType="begin"/>
      </w:r>
      <w:r>
        <w:rPr>
          <w:highlight w:val="none"/>
        </w:rPr>
        <w:instrText xml:space="preserve"> PAGEREF _Toc25416 \h </w:instrText>
      </w:r>
      <w:r>
        <w:rPr>
          <w:highlight w:val="none"/>
        </w:rPr>
        <w:fldChar w:fldCharType="separate"/>
      </w:r>
      <w:r>
        <w:rPr>
          <w:highlight w:val="none"/>
        </w:rPr>
        <w:t>13</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"_Toc4182" </w:instrText>
      </w:r>
      <w:r>
        <w:rPr>
          <w:highlight w:val="none"/>
        </w:rPr>
        <w:fldChar w:fldCharType="separate"/>
      </w:r>
      <w:r>
        <w:rPr>
          <w:rFonts w:hint="eastAsia" w:ascii="宋体" w:hAnsi="宋体" w:eastAsia="宋体" w:cs="宋体"/>
          <w:highlight w:val="none"/>
        </w:rPr>
        <w:t>二、</w:t>
      </w:r>
      <w:r>
        <w:rPr>
          <w:rFonts w:hint="eastAsia" w:ascii="宋体" w:hAnsi="宋体" w:cs="宋体"/>
          <w:highlight w:val="none"/>
        </w:rPr>
        <w:t>竞争性比选文件</w:t>
      </w:r>
      <w:r>
        <w:rPr>
          <w:highlight w:val="none"/>
        </w:rPr>
        <w:tab/>
      </w:r>
      <w:r>
        <w:rPr>
          <w:highlight w:val="none"/>
        </w:rPr>
        <w:fldChar w:fldCharType="begin"/>
      </w:r>
      <w:r>
        <w:rPr>
          <w:highlight w:val="none"/>
        </w:rPr>
        <w:instrText xml:space="preserve"> PAGEREF _Toc4182 \h </w:instrText>
      </w:r>
      <w:r>
        <w:rPr>
          <w:highlight w:val="none"/>
        </w:rPr>
        <w:fldChar w:fldCharType="separate"/>
      </w:r>
      <w:r>
        <w:rPr>
          <w:highlight w:val="none"/>
        </w:rPr>
        <w:t>13</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"_Toc16430" </w:instrText>
      </w:r>
      <w:r>
        <w:rPr>
          <w:highlight w:val="none"/>
        </w:rPr>
        <w:fldChar w:fldCharType="separate"/>
      </w:r>
      <w:r>
        <w:rPr>
          <w:rFonts w:hint="eastAsia" w:ascii="宋体" w:hAnsi="宋体" w:eastAsia="宋体" w:cs="宋体"/>
          <w:highlight w:val="none"/>
        </w:rPr>
        <w:t>三、</w:t>
      </w:r>
      <w:r>
        <w:rPr>
          <w:rFonts w:hint="eastAsia" w:ascii="宋体" w:hAnsi="宋体" w:cs="宋体"/>
          <w:highlight w:val="none"/>
        </w:rPr>
        <w:t>响应文件</w:t>
      </w:r>
      <w:r>
        <w:rPr>
          <w:highlight w:val="none"/>
        </w:rPr>
        <w:tab/>
      </w:r>
      <w:r>
        <w:rPr>
          <w:highlight w:val="none"/>
        </w:rPr>
        <w:fldChar w:fldCharType="begin"/>
      </w:r>
      <w:r>
        <w:rPr>
          <w:highlight w:val="none"/>
        </w:rPr>
        <w:instrText xml:space="preserve"> PAGEREF _Toc16430 \h </w:instrText>
      </w:r>
      <w:r>
        <w:rPr>
          <w:highlight w:val="none"/>
        </w:rPr>
        <w:fldChar w:fldCharType="separate"/>
      </w:r>
      <w:r>
        <w:rPr>
          <w:highlight w:val="none"/>
        </w:rPr>
        <w:t>13</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"_Toc13068" </w:instrText>
      </w:r>
      <w:r>
        <w:rPr>
          <w:highlight w:val="none"/>
        </w:rPr>
        <w:fldChar w:fldCharType="separate"/>
      </w:r>
      <w:r>
        <w:rPr>
          <w:rFonts w:hint="eastAsia" w:ascii="宋体" w:hAnsi="宋体" w:eastAsia="宋体" w:cs="宋体"/>
          <w:highlight w:val="none"/>
        </w:rPr>
        <w:t>四、评标</w:t>
      </w:r>
      <w:r>
        <w:rPr>
          <w:highlight w:val="none"/>
        </w:rPr>
        <w:tab/>
      </w:r>
      <w:r>
        <w:rPr>
          <w:highlight w:val="none"/>
        </w:rPr>
        <w:fldChar w:fldCharType="begin"/>
      </w:r>
      <w:r>
        <w:rPr>
          <w:highlight w:val="none"/>
        </w:rPr>
        <w:instrText xml:space="preserve"> PAGEREF _Toc13068 \h </w:instrText>
      </w:r>
      <w:r>
        <w:rPr>
          <w:highlight w:val="none"/>
        </w:rPr>
        <w:fldChar w:fldCharType="separate"/>
      </w:r>
      <w:r>
        <w:rPr>
          <w:highlight w:val="none"/>
        </w:rPr>
        <w:t>14</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"_Toc7406" </w:instrText>
      </w:r>
      <w:r>
        <w:rPr>
          <w:highlight w:val="none"/>
        </w:rPr>
        <w:fldChar w:fldCharType="separate"/>
      </w:r>
      <w:r>
        <w:rPr>
          <w:rFonts w:hint="eastAsia" w:ascii="宋体" w:hAnsi="宋体" w:eastAsia="宋体" w:cs="宋体"/>
          <w:highlight w:val="none"/>
        </w:rPr>
        <w:t>五、定标</w:t>
      </w:r>
      <w:r>
        <w:rPr>
          <w:highlight w:val="none"/>
        </w:rPr>
        <w:tab/>
      </w:r>
      <w:r>
        <w:rPr>
          <w:highlight w:val="none"/>
        </w:rPr>
        <w:fldChar w:fldCharType="begin"/>
      </w:r>
      <w:r>
        <w:rPr>
          <w:highlight w:val="none"/>
        </w:rPr>
        <w:instrText xml:space="preserve"> PAGEREF _Toc7406 \h </w:instrText>
      </w:r>
      <w:r>
        <w:rPr>
          <w:highlight w:val="none"/>
        </w:rPr>
        <w:fldChar w:fldCharType="separate"/>
      </w:r>
      <w:r>
        <w:rPr>
          <w:highlight w:val="none"/>
        </w:rPr>
        <w:t>15</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"_Toc31429" </w:instrText>
      </w:r>
      <w:r>
        <w:rPr>
          <w:highlight w:val="none"/>
        </w:rPr>
        <w:fldChar w:fldCharType="separate"/>
      </w:r>
      <w:r>
        <w:rPr>
          <w:rFonts w:hint="eastAsia" w:ascii="宋体" w:hAnsi="宋体" w:eastAsia="宋体" w:cs="宋体"/>
          <w:highlight w:val="none"/>
        </w:rPr>
        <w:t>六、询问、质疑和投诉</w:t>
      </w:r>
      <w:r>
        <w:rPr>
          <w:highlight w:val="none"/>
        </w:rPr>
        <w:tab/>
      </w:r>
      <w:r>
        <w:rPr>
          <w:highlight w:val="none"/>
        </w:rPr>
        <w:fldChar w:fldCharType="begin"/>
      </w:r>
      <w:r>
        <w:rPr>
          <w:highlight w:val="none"/>
        </w:rPr>
        <w:instrText xml:space="preserve"> PAGEREF _Toc31429 \h </w:instrText>
      </w:r>
      <w:r>
        <w:rPr>
          <w:highlight w:val="none"/>
        </w:rPr>
        <w:fldChar w:fldCharType="separate"/>
      </w:r>
      <w:r>
        <w:rPr>
          <w:highlight w:val="none"/>
        </w:rPr>
        <w:t>15</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"_Toc9724" </w:instrText>
      </w:r>
      <w:r>
        <w:rPr>
          <w:highlight w:val="none"/>
        </w:rPr>
        <w:fldChar w:fldCharType="separate"/>
      </w:r>
      <w:r>
        <w:rPr>
          <w:rFonts w:hint="eastAsia" w:ascii="宋体" w:hAnsi="宋体" w:eastAsia="宋体" w:cs="宋体"/>
          <w:highlight w:val="none"/>
        </w:rPr>
        <w:t>七、签订合同</w:t>
      </w:r>
      <w:r>
        <w:rPr>
          <w:highlight w:val="none"/>
        </w:rPr>
        <w:tab/>
      </w:r>
      <w:r>
        <w:rPr>
          <w:highlight w:val="none"/>
        </w:rPr>
        <w:fldChar w:fldCharType="begin"/>
      </w:r>
      <w:r>
        <w:rPr>
          <w:highlight w:val="none"/>
        </w:rPr>
        <w:instrText xml:space="preserve"> PAGEREF _Toc9724 \h </w:instrText>
      </w:r>
      <w:r>
        <w:rPr>
          <w:highlight w:val="none"/>
        </w:rPr>
        <w:fldChar w:fldCharType="separate"/>
      </w:r>
      <w:r>
        <w:rPr>
          <w:highlight w:val="none"/>
        </w:rPr>
        <w:t>15</w:t>
      </w:r>
      <w:r>
        <w:rPr>
          <w:highlight w:val="none"/>
        </w:rPr>
        <w:fldChar w:fldCharType="end"/>
      </w:r>
      <w:r>
        <w:rPr>
          <w:highlight w:val="none"/>
        </w:rPr>
        <w:fldChar w:fldCharType="end"/>
      </w:r>
    </w:p>
    <w:p>
      <w:pPr>
        <w:pStyle w:val="9"/>
        <w:tabs>
          <w:tab w:val="right" w:leader="dot" w:pos="9498"/>
        </w:tabs>
        <w:rPr>
          <w:highlight w:val="none"/>
        </w:rPr>
      </w:pPr>
      <w:r>
        <w:rPr>
          <w:highlight w:val="none"/>
        </w:rPr>
        <w:fldChar w:fldCharType="begin"/>
      </w:r>
      <w:r>
        <w:rPr>
          <w:highlight w:val="none"/>
        </w:rPr>
        <w:instrText xml:space="preserve"> HYPERLINK \l "_Toc20627" </w:instrText>
      </w:r>
      <w:r>
        <w:rPr>
          <w:highlight w:val="none"/>
        </w:rPr>
        <w:fldChar w:fldCharType="separate"/>
      </w:r>
      <w:r>
        <w:rPr>
          <w:rFonts w:hint="eastAsia" w:hAnsi="宋体" w:cs="宋体"/>
          <w:highlight w:val="none"/>
        </w:rPr>
        <w:t>第六篇 响应文件格式要求</w:t>
      </w:r>
      <w:r>
        <w:rPr>
          <w:highlight w:val="none"/>
        </w:rPr>
        <w:tab/>
      </w:r>
      <w:r>
        <w:rPr>
          <w:highlight w:val="none"/>
        </w:rPr>
        <w:fldChar w:fldCharType="begin"/>
      </w:r>
      <w:r>
        <w:rPr>
          <w:highlight w:val="none"/>
        </w:rPr>
        <w:instrText xml:space="preserve"> PAGEREF _Toc20627 \h </w:instrText>
      </w:r>
      <w:r>
        <w:rPr>
          <w:highlight w:val="none"/>
        </w:rPr>
        <w:fldChar w:fldCharType="separate"/>
      </w:r>
      <w:r>
        <w:rPr>
          <w:highlight w:val="none"/>
        </w:rPr>
        <w:t>16</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"_Toc7369" </w:instrText>
      </w:r>
      <w:r>
        <w:rPr>
          <w:highlight w:val="none"/>
        </w:rPr>
        <w:fldChar w:fldCharType="separate"/>
      </w:r>
      <w:r>
        <w:rPr>
          <w:rFonts w:hint="eastAsia"/>
          <w:szCs w:val="28"/>
          <w:highlight w:val="none"/>
        </w:rPr>
        <w:t>一、经济文件</w:t>
      </w:r>
      <w:r>
        <w:rPr>
          <w:highlight w:val="none"/>
        </w:rPr>
        <w:tab/>
      </w:r>
      <w:r>
        <w:rPr>
          <w:highlight w:val="none"/>
        </w:rPr>
        <w:fldChar w:fldCharType="begin"/>
      </w:r>
      <w:r>
        <w:rPr>
          <w:highlight w:val="none"/>
        </w:rPr>
        <w:instrText xml:space="preserve"> PAGEREF _Toc7369 \h </w:instrText>
      </w:r>
      <w:r>
        <w:rPr>
          <w:highlight w:val="none"/>
        </w:rPr>
        <w:fldChar w:fldCharType="separate"/>
      </w:r>
      <w:r>
        <w:rPr>
          <w:highlight w:val="none"/>
        </w:rPr>
        <w:t>18</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"_Toc8743" </w:instrText>
      </w:r>
      <w:r>
        <w:rPr>
          <w:highlight w:val="none"/>
        </w:rPr>
        <w:fldChar w:fldCharType="separate"/>
      </w:r>
      <w:r>
        <w:rPr>
          <w:rFonts w:hint="eastAsia"/>
          <w:highlight w:val="none"/>
        </w:rPr>
        <w:t>二、技术文件</w:t>
      </w:r>
      <w:r>
        <w:rPr>
          <w:highlight w:val="none"/>
        </w:rPr>
        <w:tab/>
      </w:r>
      <w:r>
        <w:rPr>
          <w:highlight w:val="none"/>
        </w:rPr>
        <w:fldChar w:fldCharType="begin"/>
      </w:r>
      <w:r>
        <w:rPr>
          <w:highlight w:val="none"/>
        </w:rPr>
        <w:instrText xml:space="preserve"> PAGEREF _Toc8743 \h </w:instrText>
      </w:r>
      <w:r>
        <w:rPr>
          <w:highlight w:val="none"/>
        </w:rPr>
        <w:fldChar w:fldCharType="separate"/>
      </w:r>
      <w:r>
        <w:rPr>
          <w:highlight w:val="none"/>
        </w:rPr>
        <w:t>20</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"_Toc10814" </w:instrText>
      </w:r>
      <w:r>
        <w:rPr>
          <w:highlight w:val="none"/>
        </w:rPr>
        <w:fldChar w:fldCharType="separate"/>
      </w:r>
      <w:r>
        <w:rPr>
          <w:rFonts w:hint="eastAsia"/>
          <w:highlight w:val="none"/>
        </w:rPr>
        <w:t>三、商务文件</w:t>
      </w:r>
      <w:r>
        <w:rPr>
          <w:highlight w:val="none"/>
        </w:rPr>
        <w:tab/>
      </w:r>
      <w:r>
        <w:rPr>
          <w:highlight w:val="none"/>
        </w:rPr>
        <w:fldChar w:fldCharType="begin"/>
      </w:r>
      <w:r>
        <w:rPr>
          <w:highlight w:val="none"/>
        </w:rPr>
        <w:instrText xml:space="preserve"> PAGEREF _Toc10814 \h </w:instrText>
      </w:r>
      <w:r>
        <w:rPr>
          <w:highlight w:val="none"/>
        </w:rPr>
        <w:fldChar w:fldCharType="separate"/>
      </w:r>
      <w:r>
        <w:rPr>
          <w:highlight w:val="none"/>
        </w:rPr>
        <w:t>24</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"_Toc1750" </w:instrText>
      </w:r>
      <w:r>
        <w:rPr>
          <w:highlight w:val="none"/>
        </w:rPr>
        <w:fldChar w:fldCharType="separate"/>
      </w:r>
      <w:r>
        <w:rPr>
          <w:rFonts w:hint="eastAsia"/>
          <w:highlight w:val="none"/>
        </w:rPr>
        <w:t>四、其他与项目有关的资料（自附）</w:t>
      </w:r>
      <w:r>
        <w:rPr>
          <w:highlight w:val="none"/>
        </w:rPr>
        <w:tab/>
      </w:r>
      <w:r>
        <w:rPr>
          <w:highlight w:val="none"/>
        </w:rPr>
        <w:fldChar w:fldCharType="begin"/>
      </w:r>
      <w:r>
        <w:rPr>
          <w:highlight w:val="none"/>
        </w:rPr>
        <w:instrText xml:space="preserve"> PAGEREF _Toc1750 \h </w:instrText>
      </w:r>
      <w:r>
        <w:rPr>
          <w:highlight w:val="none"/>
        </w:rPr>
        <w:fldChar w:fldCharType="separate"/>
      </w:r>
      <w:r>
        <w:rPr>
          <w:highlight w:val="none"/>
        </w:rPr>
        <w:t>27</w:t>
      </w:r>
      <w:r>
        <w:rPr>
          <w:highlight w:val="none"/>
        </w:rPr>
        <w:fldChar w:fldCharType="end"/>
      </w:r>
      <w:r>
        <w:rPr>
          <w:highlight w:val="none"/>
        </w:rPr>
        <w:fldChar w:fldCharType="end"/>
      </w:r>
    </w:p>
    <w:p>
      <w:pPr>
        <w:pStyle w:val="10"/>
        <w:tabs>
          <w:tab w:val="right" w:leader="dot" w:pos="9498"/>
        </w:tabs>
        <w:rPr>
          <w:highlight w:val="none"/>
        </w:rPr>
      </w:pPr>
      <w:r>
        <w:rPr>
          <w:highlight w:val="none"/>
        </w:rPr>
        <w:fldChar w:fldCharType="begin"/>
      </w:r>
      <w:r>
        <w:rPr>
          <w:highlight w:val="none"/>
        </w:rPr>
        <w:instrText xml:space="preserve"> HYPERLINK \l "_Toc6692" </w:instrText>
      </w:r>
      <w:r>
        <w:rPr>
          <w:highlight w:val="none"/>
        </w:rPr>
        <w:fldChar w:fldCharType="separate"/>
      </w:r>
      <w:r>
        <w:rPr>
          <w:rFonts w:hint="eastAsia"/>
          <w:highlight w:val="none"/>
        </w:rPr>
        <w:t>五、资格文件</w:t>
      </w:r>
      <w:r>
        <w:rPr>
          <w:highlight w:val="none"/>
        </w:rPr>
        <w:tab/>
      </w:r>
      <w:r>
        <w:rPr>
          <w:highlight w:val="none"/>
        </w:rPr>
        <w:fldChar w:fldCharType="begin"/>
      </w:r>
      <w:r>
        <w:rPr>
          <w:highlight w:val="none"/>
        </w:rPr>
        <w:instrText xml:space="preserve"> PAGEREF _Toc6692 \h </w:instrText>
      </w:r>
      <w:r>
        <w:rPr>
          <w:highlight w:val="none"/>
        </w:rPr>
        <w:fldChar w:fldCharType="separate"/>
      </w:r>
      <w:r>
        <w:rPr>
          <w:highlight w:val="none"/>
        </w:rPr>
        <w:t>28</w:t>
      </w:r>
      <w:r>
        <w:rPr>
          <w:highlight w:val="none"/>
        </w:rPr>
        <w:fldChar w:fldCharType="end"/>
      </w:r>
      <w:r>
        <w:rPr>
          <w:highlight w:val="none"/>
        </w:rPr>
        <w:fldChar w:fldCharType="end"/>
      </w:r>
    </w:p>
    <w:p>
      <w:pPr>
        <w:spacing w:line="360" w:lineRule="auto"/>
        <w:jc w:val="center"/>
        <w:rPr>
          <w:highlight w:val="none"/>
        </w:rPr>
      </w:pPr>
      <w:r>
        <w:rPr>
          <w:rFonts w:hint="eastAsia"/>
          <w:sz w:val="28"/>
          <w:szCs w:val="28"/>
          <w:highlight w:val="none"/>
        </w:rPr>
        <w:fldChar w:fldCharType="end"/>
      </w:r>
      <w:r>
        <w:rPr>
          <w:rFonts w:hint="eastAsia"/>
          <w:sz w:val="28"/>
          <w:szCs w:val="28"/>
          <w:highlight w:val="none"/>
        </w:rPr>
        <w:br w:type="page"/>
      </w:r>
      <w:r>
        <w:rPr>
          <w:rStyle w:val="15"/>
          <w:rFonts w:hint="eastAsia"/>
          <w:highlight w:val="none"/>
        </w:rPr>
        <w:t>第一篇 投标邀请书</w:t>
      </w:r>
      <w:bookmarkEnd w:id="6"/>
    </w:p>
    <w:p>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重庆医科大学附属口腔医院（简称“口腔医院”）对华龙网宣传服务进行采购，欢迎有资格、有实力的投标人参加院内竞争性比选。</w:t>
      </w:r>
    </w:p>
    <w:p>
      <w:pPr>
        <w:pStyle w:val="4"/>
        <w:spacing w:line="360" w:lineRule="auto"/>
        <w:rPr>
          <w:rFonts w:ascii="宋体" w:hAnsi="宋体" w:cs="宋体"/>
          <w:kern w:val="0"/>
          <w:szCs w:val="28"/>
          <w:highlight w:val="none"/>
        </w:rPr>
      </w:pPr>
      <w:bookmarkStart w:id="7" w:name="_Toc22117"/>
      <w:r>
        <w:rPr>
          <w:rFonts w:hint="eastAsia" w:ascii="宋体" w:hAnsi="宋体" w:cs="宋体"/>
          <w:bCs w:val="0"/>
          <w:kern w:val="0"/>
          <w:szCs w:val="28"/>
          <w:highlight w:val="none"/>
        </w:rPr>
        <w:t>一、项目内容</w:t>
      </w:r>
      <w:bookmarkEnd w:id="7"/>
    </w:p>
    <w:tbl>
      <w:tblPr>
        <w:tblStyle w:val="11"/>
        <w:tblpPr w:leftFromText="180" w:rightFromText="180" w:vertAnchor="text" w:tblpXSpec="center" w:tblpY="1"/>
        <w:tblOverlap w:val="never"/>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521"/>
        <w:gridCol w:w="4057"/>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15" w:type="dxa"/>
            <w:vAlign w:val="center"/>
          </w:tcPr>
          <w:p>
            <w:pPr>
              <w:jc w:val="center"/>
              <w:rPr>
                <w:rFonts w:hAnsi="宋体" w:cs="宋体"/>
                <w:b/>
                <w:bCs/>
                <w:sz w:val="24"/>
                <w:szCs w:val="24"/>
                <w:highlight w:val="none"/>
              </w:rPr>
            </w:pPr>
            <w:r>
              <w:rPr>
                <w:rFonts w:hint="eastAsia" w:hAnsi="宋体" w:cs="宋体"/>
                <w:b/>
                <w:bCs/>
                <w:sz w:val="24"/>
                <w:szCs w:val="24"/>
                <w:highlight w:val="none"/>
              </w:rPr>
              <w:t>项目名称</w:t>
            </w:r>
          </w:p>
        </w:tc>
        <w:tc>
          <w:tcPr>
            <w:tcW w:w="1521" w:type="dxa"/>
          </w:tcPr>
          <w:p>
            <w:pPr>
              <w:jc w:val="center"/>
              <w:rPr>
                <w:rFonts w:hAnsi="宋体" w:cs="宋体"/>
                <w:b/>
                <w:bCs/>
                <w:sz w:val="24"/>
                <w:szCs w:val="24"/>
                <w:highlight w:val="none"/>
              </w:rPr>
            </w:pPr>
            <w:r>
              <w:rPr>
                <w:rFonts w:hint="eastAsia" w:hAnsi="宋体" w:cs="宋体"/>
                <w:b/>
                <w:bCs/>
                <w:sz w:val="24"/>
                <w:szCs w:val="24"/>
                <w:highlight w:val="none"/>
              </w:rPr>
              <w:t>成交投标人数量（名）</w:t>
            </w:r>
          </w:p>
        </w:tc>
        <w:tc>
          <w:tcPr>
            <w:tcW w:w="6546" w:type="dxa"/>
            <w:gridSpan w:val="2"/>
            <w:vAlign w:val="center"/>
          </w:tcPr>
          <w:p>
            <w:pPr>
              <w:jc w:val="center"/>
              <w:rPr>
                <w:rFonts w:hAnsi="宋体" w:cs="宋体"/>
                <w:b/>
                <w:bCs/>
                <w:sz w:val="24"/>
                <w:szCs w:val="24"/>
                <w:highlight w:val="none"/>
              </w:rPr>
            </w:pPr>
            <w:r>
              <w:rPr>
                <w:rFonts w:hint="eastAsia" w:hAnsi="宋体" w:cs="宋体"/>
                <w:b/>
                <w:bCs/>
                <w:sz w:val="24"/>
                <w:szCs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restart"/>
            <w:vAlign w:val="center"/>
          </w:tcPr>
          <w:p>
            <w:pPr>
              <w:jc w:val="center"/>
              <w:rPr>
                <w:rFonts w:hAnsi="宋体" w:cs="宋体"/>
                <w:sz w:val="24"/>
                <w:szCs w:val="24"/>
                <w:highlight w:val="none"/>
              </w:rPr>
            </w:pPr>
            <w:r>
              <w:rPr>
                <w:rFonts w:hint="eastAsia" w:hAnsi="宋体" w:cs="宋体"/>
                <w:sz w:val="24"/>
                <w:szCs w:val="24"/>
                <w:highlight w:val="none"/>
              </w:rPr>
              <w:t>重庆医科大学附属口腔医院   华龙网宣传服务采购</w:t>
            </w:r>
          </w:p>
        </w:tc>
        <w:tc>
          <w:tcPr>
            <w:tcW w:w="1521" w:type="dxa"/>
            <w:vMerge w:val="restart"/>
            <w:vAlign w:val="center"/>
          </w:tcPr>
          <w:p>
            <w:pPr>
              <w:jc w:val="center"/>
              <w:rPr>
                <w:rFonts w:hAnsi="宋体" w:cs="宋体"/>
                <w:sz w:val="24"/>
                <w:szCs w:val="24"/>
                <w:highlight w:val="none"/>
              </w:rPr>
            </w:pPr>
            <w:r>
              <w:rPr>
                <w:rFonts w:hint="eastAsia" w:hAnsi="宋体" w:cs="宋体"/>
                <w:sz w:val="24"/>
                <w:szCs w:val="24"/>
                <w:highlight w:val="none"/>
              </w:rPr>
              <w:t>1</w:t>
            </w:r>
          </w:p>
        </w:tc>
        <w:tc>
          <w:tcPr>
            <w:tcW w:w="4057" w:type="dxa"/>
            <w:vAlign w:val="center"/>
          </w:tcPr>
          <w:p>
            <w:pPr>
              <w:jc w:val="center"/>
              <w:rPr>
                <w:rFonts w:hAnsi="宋体" w:cs="宋体"/>
                <w:sz w:val="24"/>
                <w:szCs w:val="24"/>
                <w:highlight w:val="none"/>
              </w:rPr>
            </w:pPr>
            <w:r>
              <w:rPr>
                <w:rFonts w:hint="eastAsia" w:ascii="PingFangSC-Regular" w:hAnsi="PingFangSC-Regular"/>
                <w:color w:val="333333"/>
                <w:sz w:val="21"/>
                <w:szCs w:val="21"/>
                <w:highlight w:val="none"/>
                <w:shd w:val="clear" w:color="auto" w:fill="FFFFFF"/>
              </w:rPr>
              <w:t>华龙网</w:t>
            </w:r>
            <w:r>
              <w:rPr>
                <w:rFonts w:ascii="PingFangSC-Regular" w:hAnsi="PingFangSC-Regular"/>
                <w:color w:val="333333"/>
                <w:sz w:val="21"/>
                <w:szCs w:val="21"/>
                <w:highlight w:val="none"/>
                <w:shd w:val="clear" w:color="auto" w:fill="FFFFFF"/>
              </w:rPr>
              <w:t>信息发布</w:t>
            </w:r>
          </w:p>
        </w:tc>
        <w:tc>
          <w:tcPr>
            <w:tcW w:w="2489" w:type="dxa"/>
            <w:vAlign w:val="center"/>
          </w:tcPr>
          <w:p>
            <w:pPr>
              <w:jc w:val="center"/>
              <w:rPr>
                <w:rFonts w:hAnsi="宋体" w:cs="宋体"/>
                <w:sz w:val="24"/>
                <w:szCs w:val="24"/>
                <w:highlight w:val="none"/>
              </w:rPr>
            </w:pPr>
            <w:r>
              <w:rPr>
                <w:rFonts w:hint="eastAsia" w:ascii="方正仿宋_GBK" w:hAnsi="宋体" w:eastAsia="方正仿宋_GBK"/>
                <w:sz w:val="21"/>
                <w:szCs w:val="21"/>
                <w:highlight w:val="none"/>
              </w:rPr>
              <w:t>合作</w:t>
            </w:r>
            <w:r>
              <w:rPr>
                <w:rFonts w:ascii="方正仿宋_GBK" w:hAnsi="宋体" w:eastAsia="方正仿宋_GBK"/>
                <w:sz w:val="21"/>
                <w:szCs w:val="21"/>
                <w:highlight w:val="none"/>
              </w:rPr>
              <w:t>期内</w:t>
            </w:r>
            <w:r>
              <w:rPr>
                <w:rFonts w:hint="eastAsia" w:ascii="方正仿宋_GBK" w:hAnsi="宋体" w:eastAsia="方正仿宋_GBK"/>
                <w:sz w:val="21"/>
                <w:szCs w:val="21"/>
                <w:highlight w:val="none"/>
              </w:rPr>
              <w:t>不限次50000元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Ansi="宋体" w:cs="宋体"/>
                <w:sz w:val="24"/>
                <w:szCs w:val="24"/>
                <w:highlight w:val="none"/>
              </w:rPr>
            </w:pPr>
          </w:p>
        </w:tc>
        <w:tc>
          <w:tcPr>
            <w:tcW w:w="1521" w:type="dxa"/>
            <w:vMerge w:val="continue"/>
            <w:vAlign w:val="center"/>
          </w:tcPr>
          <w:p>
            <w:pPr>
              <w:jc w:val="center"/>
              <w:rPr>
                <w:rFonts w:hAnsi="宋体" w:cs="宋体"/>
                <w:sz w:val="24"/>
                <w:szCs w:val="24"/>
                <w:highlight w:val="none"/>
              </w:rPr>
            </w:pPr>
          </w:p>
        </w:tc>
        <w:tc>
          <w:tcPr>
            <w:tcW w:w="4057" w:type="dxa"/>
            <w:vAlign w:val="center"/>
          </w:tcPr>
          <w:p>
            <w:pPr>
              <w:jc w:val="center"/>
              <w:rPr>
                <w:rFonts w:hAnsi="宋体" w:cs="宋体"/>
                <w:sz w:val="24"/>
                <w:szCs w:val="24"/>
                <w:highlight w:val="none"/>
              </w:rPr>
            </w:pPr>
            <w:r>
              <w:rPr>
                <w:rFonts w:ascii="PingFangSC-Regular" w:hAnsi="PingFangSC-Regular"/>
                <w:color w:val="333333"/>
                <w:sz w:val="21"/>
                <w:szCs w:val="21"/>
                <w:highlight w:val="none"/>
                <w:shd w:val="clear" w:color="auto" w:fill="FFFFFF"/>
              </w:rPr>
              <w:t>稿件撰写及华龙网发布</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不限制稿件字数，以服务宣传内容为主</w:t>
            </w:r>
            <w:r>
              <w:rPr>
                <w:rFonts w:hint="eastAsia" w:ascii="PingFangSC-Regular" w:hAnsi="PingFangSC-Regular"/>
                <w:color w:val="333333"/>
                <w:sz w:val="21"/>
                <w:szCs w:val="21"/>
                <w:highlight w:val="none"/>
                <w:shd w:val="clear" w:color="auto" w:fill="FFFFFF"/>
              </w:rPr>
              <w:t>）</w:t>
            </w:r>
          </w:p>
        </w:tc>
        <w:tc>
          <w:tcPr>
            <w:tcW w:w="2489" w:type="dxa"/>
            <w:vAlign w:val="center"/>
          </w:tcPr>
          <w:p>
            <w:pPr>
              <w:jc w:val="center"/>
              <w:rPr>
                <w:rFonts w:hAnsi="宋体" w:cs="宋体"/>
                <w:sz w:val="24"/>
                <w:szCs w:val="24"/>
                <w:highlight w:val="none"/>
              </w:rPr>
            </w:pPr>
            <w:r>
              <w:rPr>
                <w:rFonts w:hint="eastAsia" w:ascii="方正仿宋_GBK" w:hAnsi="宋体" w:eastAsia="方正仿宋_GBK"/>
                <w:sz w:val="21"/>
                <w:szCs w:val="21"/>
                <w:highlight w:val="none"/>
              </w:rPr>
              <w:t>5000元/篇（单价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Ansi="宋体" w:cs="宋体"/>
                <w:sz w:val="24"/>
                <w:szCs w:val="24"/>
                <w:highlight w:val="none"/>
              </w:rPr>
            </w:pPr>
          </w:p>
        </w:tc>
        <w:tc>
          <w:tcPr>
            <w:tcW w:w="1521" w:type="dxa"/>
            <w:vMerge w:val="continue"/>
            <w:vAlign w:val="center"/>
          </w:tcPr>
          <w:p>
            <w:pPr>
              <w:jc w:val="center"/>
              <w:rPr>
                <w:rFonts w:hAnsi="宋体" w:cs="宋体"/>
                <w:sz w:val="24"/>
                <w:szCs w:val="24"/>
                <w:highlight w:val="none"/>
              </w:rPr>
            </w:pPr>
          </w:p>
        </w:tc>
        <w:tc>
          <w:tcPr>
            <w:tcW w:w="4057" w:type="dxa"/>
            <w:vAlign w:val="center"/>
          </w:tcPr>
          <w:p>
            <w:pPr>
              <w:jc w:val="center"/>
              <w:rPr>
                <w:rFonts w:hint="eastAsia" w:hAnsi="宋体" w:eastAsia="宋体" w:cs="宋体"/>
                <w:sz w:val="24"/>
                <w:szCs w:val="24"/>
                <w:highlight w:val="none"/>
                <w:lang w:eastAsia="zh-CN"/>
              </w:rPr>
            </w:pPr>
            <w:r>
              <w:rPr>
                <w:rFonts w:ascii="PingFangSC-Regular" w:hAnsi="PingFangSC-Regular"/>
                <w:color w:val="333333"/>
                <w:sz w:val="21"/>
                <w:szCs w:val="21"/>
                <w:highlight w:val="none"/>
                <w:shd w:val="clear" w:color="auto" w:fill="FFFFFF"/>
              </w:rPr>
              <w:t>视频制作</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常规固定机位科普短视频5分钟以内</w:t>
            </w:r>
            <w:r>
              <w:rPr>
                <w:rFonts w:hint="eastAsia" w:ascii="PingFangSC-Regular" w:hAnsi="PingFangSC-Regular"/>
                <w:color w:val="333333"/>
                <w:sz w:val="21"/>
                <w:szCs w:val="21"/>
                <w:highlight w:val="none"/>
                <w:shd w:val="clear" w:color="auto" w:fill="FFFFFF"/>
              </w:rPr>
              <w:t>）</w:t>
            </w:r>
            <w:r>
              <w:rPr>
                <w:rFonts w:hint="eastAsia" w:ascii="PingFangSC-Regular" w:hAnsi="PingFangSC-Regular"/>
                <w:color w:val="333333"/>
                <w:sz w:val="21"/>
                <w:szCs w:val="21"/>
                <w:highlight w:val="none"/>
                <w:shd w:val="clear" w:color="auto" w:fill="FFFFFF"/>
                <w:lang w:eastAsia="zh-CN"/>
              </w:rPr>
              <w:t>及华龙网相关平台发布</w:t>
            </w:r>
          </w:p>
        </w:tc>
        <w:tc>
          <w:tcPr>
            <w:tcW w:w="2489" w:type="dxa"/>
            <w:vAlign w:val="center"/>
          </w:tcPr>
          <w:p>
            <w:pPr>
              <w:jc w:val="center"/>
              <w:rPr>
                <w:rFonts w:hAnsi="宋体" w:cs="宋体"/>
                <w:sz w:val="24"/>
                <w:szCs w:val="24"/>
                <w:highlight w:val="none"/>
              </w:rPr>
            </w:pPr>
            <w:r>
              <w:rPr>
                <w:rFonts w:hint="eastAsia" w:ascii="方正仿宋_GBK" w:hAnsi="宋体" w:eastAsia="方正仿宋_GBK"/>
                <w:sz w:val="21"/>
                <w:szCs w:val="21"/>
                <w:highlight w:val="none"/>
              </w:rPr>
              <w:t>5000元/个（单价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Ansi="宋体" w:cs="宋体"/>
                <w:sz w:val="24"/>
                <w:szCs w:val="24"/>
                <w:highlight w:val="none"/>
              </w:rPr>
            </w:pPr>
          </w:p>
        </w:tc>
        <w:tc>
          <w:tcPr>
            <w:tcW w:w="1521" w:type="dxa"/>
            <w:vMerge w:val="continue"/>
            <w:vAlign w:val="center"/>
          </w:tcPr>
          <w:p>
            <w:pPr>
              <w:jc w:val="center"/>
              <w:rPr>
                <w:rFonts w:hAnsi="宋体" w:cs="宋体"/>
                <w:sz w:val="24"/>
                <w:szCs w:val="24"/>
                <w:highlight w:val="none"/>
              </w:rPr>
            </w:pPr>
          </w:p>
        </w:tc>
        <w:tc>
          <w:tcPr>
            <w:tcW w:w="4057" w:type="dxa"/>
            <w:vAlign w:val="center"/>
          </w:tcPr>
          <w:p>
            <w:pPr>
              <w:jc w:val="center"/>
              <w:rPr>
                <w:rFonts w:hint="eastAsia" w:ascii="PingFangSC-Regular" w:hAnsi="PingFangSC-Regular"/>
                <w:color w:val="333333"/>
                <w:sz w:val="21"/>
                <w:szCs w:val="21"/>
                <w:highlight w:val="none"/>
                <w:shd w:val="clear" w:color="auto" w:fill="FFFFFF"/>
              </w:rPr>
            </w:pPr>
            <w:r>
              <w:rPr>
                <w:rFonts w:ascii="PingFangSC-Regular" w:hAnsi="PingFangSC-Regular"/>
                <w:color w:val="333333"/>
                <w:sz w:val="21"/>
                <w:szCs w:val="21"/>
                <w:highlight w:val="none"/>
                <w:shd w:val="clear" w:color="auto" w:fill="FFFFFF"/>
              </w:rPr>
              <w:t>视频制作</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常规宣传片10分钟以内</w:t>
            </w:r>
            <w:r>
              <w:rPr>
                <w:rFonts w:hint="eastAsia" w:ascii="PingFangSC-Regular" w:hAnsi="PingFangSC-Regular"/>
                <w:color w:val="333333"/>
                <w:sz w:val="21"/>
                <w:szCs w:val="21"/>
                <w:highlight w:val="none"/>
                <w:shd w:val="clear" w:color="auto" w:fill="FFFFFF"/>
              </w:rPr>
              <w:t>）</w:t>
            </w:r>
          </w:p>
          <w:p>
            <w:pPr>
              <w:jc w:val="center"/>
              <w:rPr>
                <w:highlight w:val="none"/>
              </w:rPr>
            </w:pPr>
            <w:r>
              <w:rPr>
                <w:rFonts w:hint="eastAsia" w:ascii="PingFangSC-Regular" w:hAnsi="PingFangSC-Regular"/>
                <w:color w:val="333333"/>
                <w:sz w:val="21"/>
                <w:szCs w:val="21"/>
                <w:highlight w:val="none"/>
                <w:shd w:val="clear" w:color="auto" w:fill="FFFFFF"/>
                <w:lang w:eastAsia="zh-CN"/>
              </w:rPr>
              <w:t>及华龙网相关平台发布</w:t>
            </w:r>
          </w:p>
        </w:tc>
        <w:tc>
          <w:tcPr>
            <w:tcW w:w="2489" w:type="dxa"/>
            <w:vAlign w:val="center"/>
          </w:tcPr>
          <w:p>
            <w:pPr>
              <w:jc w:val="center"/>
              <w:rPr>
                <w:rFonts w:hAnsi="宋体" w:cs="宋体"/>
                <w:sz w:val="24"/>
                <w:szCs w:val="24"/>
                <w:highlight w:val="none"/>
              </w:rPr>
            </w:pPr>
            <w:r>
              <w:rPr>
                <w:rFonts w:hint="eastAsia" w:ascii="方正仿宋_GBK" w:hAnsi="宋体" w:eastAsia="方正仿宋_GBK"/>
                <w:sz w:val="21"/>
                <w:szCs w:val="21"/>
                <w:highlight w:val="none"/>
              </w:rPr>
              <w:t>30000元/个（单价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15" w:type="dxa"/>
            <w:vMerge w:val="continue"/>
            <w:vAlign w:val="center"/>
          </w:tcPr>
          <w:p>
            <w:pPr>
              <w:jc w:val="center"/>
              <w:rPr>
                <w:rFonts w:hAnsi="宋体" w:cs="宋体"/>
                <w:sz w:val="24"/>
                <w:szCs w:val="24"/>
                <w:highlight w:val="none"/>
              </w:rPr>
            </w:pPr>
          </w:p>
        </w:tc>
        <w:tc>
          <w:tcPr>
            <w:tcW w:w="1521" w:type="dxa"/>
            <w:vMerge w:val="continue"/>
            <w:vAlign w:val="center"/>
          </w:tcPr>
          <w:p>
            <w:pPr>
              <w:jc w:val="center"/>
              <w:rPr>
                <w:rFonts w:hAnsi="宋体" w:cs="宋体"/>
                <w:sz w:val="24"/>
                <w:szCs w:val="24"/>
                <w:highlight w:val="none"/>
              </w:rPr>
            </w:pPr>
          </w:p>
        </w:tc>
        <w:tc>
          <w:tcPr>
            <w:tcW w:w="4057" w:type="dxa"/>
            <w:vAlign w:val="center"/>
          </w:tcPr>
          <w:p>
            <w:pPr>
              <w:jc w:val="center"/>
              <w:rPr>
                <w:rFonts w:hAnsi="宋体" w:cs="宋体"/>
                <w:sz w:val="24"/>
                <w:szCs w:val="24"/>
                <w:highlight w:val="none"/>
              </w:rPr>
            </w:pPr>
            <w:r>
              <w:rPr>
                <w:rFonts w:ascii="PingFangSC-Regular" w:hAnsi="PingFangSC-Regular"/>
                <w:color w:val="333333"/>
                <w:sz w:val="21"/>
                <w:szCs w:val="21"/>
                <w:highlight w:val="none"/>
                <w:shd w:val="clear" w:color="auto" w:fill="FFFFFF"/>
              </w:rPr>
              <w:t>活动策划直播</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含活动方案撰写、现场布置、现场图文视频直播、华龙网信息发布，华龙网app同步直播。</w:t>
            </w:r>
            <w:r>
              <w:rPr>
                <w:rFonts w:hint="eastAsia" w:ascii="PingFangSC-Regular" w:hAnsi="PingFangSC-Regular"/>
                <w:color w:val="333333"/>
                <w:sz w:val="21"/>
                <w:szCs w:val="21"/>
                <w:highlight w:val="none"/>
                <w:shd w:val="clear" w:color="auto" w:fill="FFFFFF"/>
              </w:rPr>
              <w:t>）</w:t>
            </w:r>
          </w:p>
        </w:tc>
        <w:tc>
          <w:tcPr>
            <w:tcW w:w="2489" w:type="dxa"/>
            <w:vAlign w:val="center"/>
          </w:tcPr>
          <w:p>
            <w:pPr>
              <w:jc w:val="center"/>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rPr>
              <w:t>20000元/场</w:t>
            </w:r>
            <w:r>
              <w:rPr>
                <w:rFonts w:hint="eastAsia" w:ascii="方正仿宋_GBK" w:hAnsi="宋体" w:eastAsia="方正仿宋_GBK"/>
                <w:sz w:val="21"/>
                <w:szCs w:val="21"/>
                <w:highlight w:val="none"/>
                <w:lang w:eastAsia="zh-CN"/>
              </w:rPr>
              <w:t>（全天）</w:t>
            </w:r>
          </w:p>
          <w:p>
            <w:pPr>
              <w:jc w:val="center"/>
              <w:rPr>
                <w:rFonts w:hint="eastAsia" w:eastAsia="方正仿宋_GBK"/>
                <w:highlight w:val="none"/>
                <w:lang w:eastAsia="zh-CN"/>
              </w:rPr>
            </w:pPr>
            <w:r>
              <w:rPr>
                <w:rFonts w:hint="eastAsia" w:ascii="方正仿宋_GBK" w:hAnsi="宋体" w:eastAsia="方正仿宋_GBK"/>
                <w:sz w:val="21"/>
                <w:szCs w:val="21"/>
                <w:highlight w:val="none"/>
              </w:rPr>
              <w:t>（单价采购）</w:t>
            </w:r>
          </w:p>
        </w:tc>
      </w:tr>
    </w:tbl>
    <w:p>
      <w:pPr>
        <w:rPr>
          <w:rStyle w:val="14"/>
          <w:highlight w:val="none"/>
        </w:rPr>
      </w:pPr>
    </w:p>
    <w:p>
      <w:pPr>
        <w:rPr>
          <w:sz w:val="28"/>
          <w:szCs w:val="28"/>
          <w:highlight w:val="none"/>
        </w:rPr>
      </w:pPr>
      <w:bookmarkStart w:id="8" w:name="_Toc307"/>
      <w:r>
        <w:rPr>
          <w:rStyle w:val="14"/>
          <w:rFonts w:hint="eastAsia"/>
          <w:highlight w:val="none"/>
        </w:rPr>
        <w:t>二、资金来源</w:t>
      </w:r>
      <w:bookmarkEnd w:id="8"/>
      <w:r>
        <w:rPr>
          <w:rFonts w:hint="eastAsia"/>
          <w:highlight w:val="none"/>
        </w:rPr>
        <w:t>：</w:t>
      </w:r>
      <w:r>
        <w:rPr>
          <w:rFonts w:hint="eastAsia"/>
          <w:sz w:val="28"/>
          <w:szCs w:val="28"/>
          <w:highlight w:val="none"/>
        </w:rPr>
        <w:t>医院自筹</w:t>
      </w:r>
    </w:p>
    <w:p>
      <w:pPr>
        <w:rPr>
          <w:sz w:val="28"/>
          <w:szCs w:val="28"/>
          <w:highlight w:val="none"/>
        </w:rPr>
      </w:pPr>
      <w:bookmarkStart w:id="9" w:name="_Toc17640"/>
      <w:r>
        <w:rPr>
          <w:rStyle w:val="14"/>
          <w:rFonts w:hint="eastAsia"/>
          <w:szCs w:val="28"/>
          <w:highlight w:val="none"/>
        </w:rPr>
        <w:t>三、采购方式</w:t>
      </w:r>
      <w:bookmarkEnd w:id="9"/>
      <w:r>
        <w:rPr>
          <w:rFonts w:hint="eastAsia"/>
          <w:sz w:val="28"/>
          <w:szCs w:val="28"/>
          <w:highlight w:val="none"/>
        </w:rPr>
        <w:t>：院内竞争性比选</w:t>
      </w:r>
    </w:p>
    <w:p>
      <w:pPr>
        <w:pStyle w:val="4"/>
        <w:rPr>
          <w:highlight w:val="none"/>
        </w:rPr>
      </w:pPr>
      <w:bookmarkStart w:id="10" w:name="_Toc15640"/>
      <w:r>
        <w:rPr>
          <w:rFonts w:hint="eastAsia"/>
          <w:highlight w:val="none"/>
        </w:rPr>
        <w:t>四、投标人资格要求</w:t>
      </w:r>
      <w:bookmarkEnd w:id="10"/>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pPr>
        <w:spacing w:line="360" w:lineRule="auto"/>
        <w:ind w:firstLine="480"/>
        <w:rPr>
          <w:rFonts w:hAnsi="宋体" w:cs="宋体"/>
          <w:color w:val="FF0000"/>
          <w:sz w:val="24"/>
          <w:szCs w:val="24"/>
          <w:highlight w:val="none"/>
        </w:rPr>
      </w:pPr>
      <w:r>
        <w:rPr>
          <w:rFonts w:hint="eastAsia" w:hAnsi="宋体" w:cs="宋体"/>
          <w:color w:val="000000" w:themeColor="text1"/>
          <w:sz w:val="24"/>
          <w:szCs w:val="24"/>
          <w:highlight w:val="none"/>
          <w14:textFill>
            <w14:solidFill>
              <w14:schemeClr w14:val="tx1"/>
            </w14:solidFill>
          </w14:textFill>
        </w:rPr>
        <w:t xml:space="preserve"> 无</w:t>
      </w:r>
    </w:p>
    <w:p>
      <w:pPr>
        <w:pStyle w:val="4"/>
        <w:rPr>
          <w:highlight w:val="none"/>
        </w:rPr>
      </w:pPr>
      <w:bookmarkStart w:id="11" w:name="_Toc7050"/>
      <w:r>
        <w:rPr>
          <w:rFonts w:hint="eastAsia"/>
          <w:highlight w:val="none"/>
        </w:rPr>
        <w:t>五、比选文件获取及投标时间要求</w:t>
      </w:r>
      <w:bookmarkEnd w:id="11"/>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竞争性比选文件，竞争性比选文件及补遗等开标前公布的所有项目资料，无论投标人下载与否，均视为已知晓所有招标内容。本项目无需报名及购买竞争性比选文件。获取文件期限:</w:t>
      </w:r>
      <w:bookmarkStart w:id="12" w:name="OLE_LINK3"/>
      <w:r>
        <w:rPr>
          <w:rFonts w:hint="eastAsia" w:hAnsi="宋体" w:cs="宋体"/>
          <w:sz w:val="24"/>
          <w:szCs w:val="24"/>
          <w:highlight w:val="none"/>
        </w:rPr>
        <w:t>2025年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28</w:t>
      </w:r>
      <w:r>
        <w:rPr>
          <w:rFonts w:hint="eastAsia" w:hAnsi="宋体" w:cs="宋体"/>
          <w:sz w:val="24"/>
          <w:szCs w:val="24"/>
          <w:highlight w:val="none"/>
        </w:rPr>
        <w:t>日 9：00至 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7</w:t>
      </w:r>
      <w:r>
        <w:rPr>
          <w:rFonts w:hint="eastAsia" w:hAnsi="宋体" w:cs="宋体"/>
          <w:sz w:val="24"/>
          <w:szCs w:val="24"/>
          <w:highlight w:val="none"/>
        </w:rPr>
        <w:t>日</w:t>
      </w:r>
      <w:bookmarkEnd w:id="12"/>
      <w:r>
        <w:rPr>
          <w:rFonts w:hint="eastAsia" w:hAnsi="宋体" w:cs="宋体"/>
          <w:sz w:val="24"/>
          <w:szCs w:val="24"/>
          <w:highlight w:val="none"/>
        </w:rPr>
        <w:t>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竞争性比选文件的要求编制响应文件，并对竞争性比选文件提出的要求和条件作出实质性响应，响应文件须采用软面胶装（不得采用穿孔式、文件夹式活页装订），同时应编制完整的封面、页码、目录。</w:t>
      </w:r>
    </w:p>
    <w:p>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响应文件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（四）所有投标书应于2025年</w:t>
      </w:r>
      <w:r>
        <w:rPr>
          <w:rFonts w:hint="eastAsia" w:hAnsi="宋体" w:cs="宋体"/>
          <w:sz w:val="24"/>
          <w:szCs w:val="24"/>
          <w:highlight w:val="none"/>
          <w:lang w:val="en-US" w:eastAsia="zh-CN"/>
        </w:rPr>
        <w:t>4</w:t>
      </w:r>
      <w:r>
        <w:rPr>
          <w:rFonts w:hint="eastAsia" w:hAnsi="宋体" w:cs="宋体"/>
          <w:sz w:val="24"/>
          <w:szCs w:val="24"/>
          <w:highlight w:val="none"/>
        </w:rPr>
        <w:t>月</w:t>
      </w:r>
      <w:r>
        <w:rPr>
          <w:rFonts w:hint="eastAsia" w:hAnsi="宋体" w:cs="宋体"/>
          <w:sz w:val="24"/>
          <w:szCs w:val="24"/>
          <w:highlight w:val="none"/>
          <w:lang w:val="en-US" w:eastAsia="zh-CN"/>
        </w:rPr>
        <w:t>28</w:t>
      </w:r>
      <w:r>
        <w:rPr>
          <w:rFonts w:hint="eastAsia" w:hAnsi="宋体" w:cs="宋体"/>
          <w:sz w:val="24"/>
          <w:szCs w:val="24"/>
          <w:highlight w:val="none"/>
        </w:rPr>
        <w:t>日 9：00至 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7</w:t>
      </w:r>
      <w:r>
        <w:rPr>
          <w:rFonts w:hint="eastAsia" w:hAnsi="宋体" w:cs="宋体"/>
          <w:sz w:val="24"/>
          <w:szCs w:val="24"/>
          <w:highlight w:val="none"/>
        </w:rPr>
        <w:t>日</w:t>
      </w:r>
      <w:bookmarkStart w:id="107" w:name="_GoBack"/>
      <w:bookmarkEnd w:id="107"/>
      <w:r>
        <w:rPr>
          <w:rFonts w:hint="eastAsia" w:hAnsi="宋体" w:cs="宋体"/>
          <w:sz w:val="24"/>
          <w:szCs w:val="24"/>
          <w:highlight w:val="none"/>
        </w:rPr>
        <w:t>17:30(工作时间)递交到重庆医科大学附属口腔医院(重庆渝北区松石北路426号)综合楼七楼705对面审计科（须密封盖章）。邮寄标书的以快递送达口腔医院并签收的日期为准（收件人：审计科 张老师 88602318）。逾期送达的响应文件，将不予受理。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（五）比选时间：2025年 月 日（待定），具体评审时间及地点由医院确定，投标人按采购人电话通知具体时间地点参加。</w:t>
      </w:r>
    </w:p>
    <w:p>
      <w:pPr>
        <w:pStyle w:val="4"/>
        <w:rPr>
          <w:highlight w:val="none"/>
        </w:rPr>
      </w:pPr>
      <w:bookmarkStart w:id="13" w:name="_Toc14432"/>
      <w:bookmarkStart w:id="14" w:name="_Toc60133133"/>
      <w:r>
        <w:rPr>
          <w:rFonts w:hint="eastAsia"/>
          <w:highlight w:val="none"/>
        </w:rPr>
        <w:t>六、其它有关规定</w:t>
      </w:r>
      <w:bookmarkEnd w:id="13"/>
      <w:bookmarkEnd w:id="14"/>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w:t>
      </w:r>
      <w:r>
        <w:rPr>
          <w:rFonts w:hint="eastAsia" w:hAnsi="宋体" w:cs="宋体"/>
          <w:sz w:val="24"/>
          <w:szCs w:val="24"/>
          <w:highlight w:val="none"/>
        </w:rPr>
        <w:t>投标人</w:t>
      </w:r>
      <w:r>
        <w:rPr>
          <w:rFonts w:hAnsi="宋体" w:cs="宋体"/>
          <w:sz w:val="24"/>
          <w:szCs w:val="24"/>
          <w:highlight w:val="none"/>
        </w:rPr>
        <w:t>，不得参加同一合同项下的采购活动。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w:t>
      </w:r>
      <w:r>
        <w:rPr>
          <w:rFonts w:hint="eastAsia" w:hAnsi="宋体" w:cs="宋体"/>
          <w:sz w:val="24"/>
          <w:szCs w:val="24"/>
          <w:highlight w:val="none"/>
        </w:rPr>
        <w:t>投标人</w:t>
      </w:r>
      <w:r>
        <w:rPr>
          <w:rFonts w:hAnsi="宋体" w:cs="宋体"/>
          <w:sz w:val="24"/>
          <w:szCs w:val="24"/>
          <w:highlight w:val="none"/>
        </w:rPr>
        <w:t>，不得再参加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（三）本项目若有补遗文件一律在重庆医科大学附属口腔医院官网、中国采购招标网、和行采家上发布，请各投标人注意下载；无论投标人下载与否，均视同投标人已知晓本项目补遗文件的内容。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（五）磋商费用：无论投标结果如何，投标人参与本项目投标的所有费用均应由投标人自行承担。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Ansi="宋体" w:cs="宋体"/>
          <w:sz w:val="24"/>
          <w:szCs w:val="24"/>
          <w:highlight w:val="none"/>
        </w:rPr>
      </w:pPr>
      <w:r>
        <w:rPr>
          <w:rFonts w:hint="eastAsia" w:hAnsi="宋体" w:cs="宋体"/>
          <w:sz w:val="24"/>
          <w:szCs w:val="24"/>
          <w:highlight w:val="none"/>
        </w:rPr>
        <w:t>（七）</w:t>
      </w:r>
      <w:bookmarkStart w:id="15" w:name="OLE_LINK1"/>
      <w:bookmarkStart w:id="16" w:name="OLE_LINK2"/>
      <w:r>
        <w:rPr>
          <w:rFonts w:hint="eastAsia" w:hAnsi="宋体" w:cs="宋体"/>
          <w:sz w:val="24"/>
          <w:szCs w:val="24"/>
          <w:highlight w:val="none"/>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5"/>
      <w:bookmarkEnd w:id="16"/>
      <w:r>
        <w:rPr>
          <w:rFonts w:hint="eastAsia" w:hAnsi="宋体" w:cs="宋体"/>
          <w:sz w:val="24"/>
          <w:szCs w:val="24"/>
          <w:highlight w:val="none"/>
        </w:rPr>
        <w:t>投标人，将拒绝其参与政府采购活动。</w:t>
      </w:r>
    </w:p>
    <w:p>
      <w:pPr>
        <w:spacing w:line="360" w:lineRule="auto"/>
        <w:ind w:firstLine="480"/>
        <w:rPr>
          <w:rFonts w:hAnsi="宋体" w:cs="宋体"/>
          <w:sz w:val="24"/>
          <w:szCs w:val="24"/>
          <w:highlight w:val="none"/>
        </w:rPr>
      </w:pPr>
      <w:r>
        <w:rPr>
          <w:rFonts w:hint="eastAsia" w:hAnsi="宋体" w:cs="宋体"/>
          <w:sz w:val="24"/>
          <w:szCs w:val="24"/>
          <w:highlight w:val="none"/>
        </w:rPr>
        <w:t>（八）根据《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Ansi="宋体" w:cs="宋体"/>
          <w:sz w:val="24"/>
          <w:szCs w:val="24"/>
          <w:highlight w:val="none"/>
        </w:rPr>
      </w:pPr>
      <w:r>
        <w:rPr>
          <w:rFonts w:hint="eastAsia" w:hAnsi="宋体" w:cs="宋体"/>
          <w:sz w:val="24"/>
          <w:szCs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竞争性比选文件规定的方式确定一个参加评标的投标人，竞争性比选文件未规定的采取随机抽取方式确定，其他投标无效。</w:t>
      </w:r>
    </w:p>
    <w:p>
      <w:pPr>
        <w:pStyle w:val="4"/>
        <w:rPr>
          <w:highlight w:val="none"/>
        </w:rPr>
      </w:pPr>
      <w:bookmarkStart w:id="17" w:name="_Toc20941"/>
      <w:r>
        <w:rPr>
          <w:rFonts w:hint="eastAsia"/>
          <w:highlight w:val="none"/>
        </w:rPr>
        <w:t>七、联系方式</w:t>
      </w:r>
      <w:bookmarkEnd w:id="17"/>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023-88860001       88602318（监督）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李老师（监督）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p>
    <w:p>
      <w:pPr>
        <w:pStyle w:val="3"/>
        <w:spacing w:line="360" w:lineRule="auto"/>
        <w:rPr>
          <w:rFonts w:ascii="宋体" w:hAnsi="宋体" w:eastAsia="宋体" w:cs="宋体"/>
          <w:highlight w:val="none"/>
        </w:rPr>
      </w:pPr>
      <w:bookmarkStart w:id="18" w:name="_Toc19113857"/>
      <w:bookmarkStart w:id="19" w:name="_Toc11371"/>
      <w:r>
        <w:rPr>
          <w:rFonts w:hint="eastAsia" w:ascii="宋体" w:hAnsi="宋体" w:eastAsia="宋体" w:cs="宋体"/>
          <w:highlight w:val="none"/>
        </w:rPr>
        <w:t>第二篇 项目技术要求</w:t>
      </w:r>
      <w:bookmarkEnd w:id="18"/>
      <w:bookmarkEnd w:id="19"/>
    </w:p>
    <w:p>
      <w:pPr>
        <w:pStyle w:val="4"/>
        <w:rPr>
          <w:highlight w:val="none"/>
        </w:rPr>
      </w:pPr>
      <w:bookmarkStart w:id="20" w:name="_Toc976"/>
      <w:r>
        <w:rPr>
          <w:rFonts w:hint="eastAsia"/>
          <w:highlight w:val="none"/>
        </w:rPr>
        <w:t>一、采购项目一览表</w:t>
      </w:r>
      <w:bookmarkEnd w:id="20"/>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645"/>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PingFangSC-Regular" w:hAnsi="PingFangSC-Regular"/>
                <w:color w:val="333333"/>
                <w:sz w:val="21"/>
                <w:szCs w:val="21"/>
                <w:highlight w:val="none"/>
                <w:shd w:val="clear" w:color="auto" w:fill="FFFFFF"/>
              </w:rPr>
              <w:t>华龙网</w:t>
            </w:r>
            <w:r>
              <w:rPr>
                <w:rFonts w:ascii="PingFangSC-Regular" w:hAnsi="PingFangSC-Regular"/>
                <w:color w:val="333333"/>
                <w:sz w:val="21"/>
                <w:szCs w:val="21"/>
                <w:highlight w:val="none"/>
                <w:shd w:val="clear" w:color="auto" w:fill="FFFFFF"/>
              </w:rPr>
              <w:t>信息发布</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合作</w:t>
            </w:r>
            <w:r>
              <w:rPr>
                <w:rFonts w:ascii="方正仿宋_GBK" w:hAnsi="宋体" w:eastAsia="方正仿宋_GBK"/>
                <w:sz w:val="21"/>
                <w:szCs w:val="21"/>
                <w:highlight w:val="none"/>
              </w:rPr>
              <w:t>期内</w:t>
            </w:r>
            <w:r>
              <w:rPr>
                <w:rFonts w:hint="eastAsia" w:ascii="方正仿宋_GBK" w:hAnsi="宋体" w:eastAsia="方正仿宋_GBK"/>
                <w:sz w:val="21"/>
                <w:szCs w:val="21"/>
                <w:highlight w:val="none"/>
              </w:rPr>
              <w:t>不限次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2</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ascii="PingFangSC-Regular" w:hAnsi="PingFangSC-Regular"/>
                <w:color w:val="333333"/>
                <w:sz w:val="21"/>
                <w:szCs w:val="21"/>
                <w:highlight w:val="none"/>
                <w:shd w:val="clear" w:color="auto" w:fill="FFFFFF"/>
              </w:rPr>
              <w:t>稿件撰写及华龙网发布</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不限制稿件字数，以服务宣传内容为主</w:t>
            </w:r>
            <w:r>
              <w:rPr>
                <w:rFonts w:hint="eastAsia" w:ascii="PingFangSC-Regular" w:hAnsi="PingFangSC-Regular"/>
                <w:color w:val="333333"/>
                <w:sz w:val="21"/>
                <w:szCs w:val="21"/>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bookmarkStart w:id="21" w:name="OLE_LINK4"/>
            <w:bookmarkStart w:id="22" w:name="OLE_LINK9"/>
            <w:bookmarkStart w:id="23" w:name="OLE_LINK10"/>
            <w:r>
              <w:rPr>
                <w:rFonts w:hint="eastAsia" w:ascii="方正仿宋_GBK" w:hAnsi="宋体" w:eastAsia="方正仿宋_GBK"/>
                <w:sz w:val="21"/>
                <w:szCs w:val="21"/>
                <w:highlight w:val="none"/>
                <w:lang w:eastAsia="zh-CN"/>
              </w:rPr>
              <w:t>元</w:t>
            </w:r>
            <w:r>
              <w:rPr>
                <w:rFonts w:hint="eastAsia" w:ascii="方正仿宋_GBK" w:hAnsi="宋体" w:eastAsia="方正仿宋_GBK"/>
                <w:sz w:val="21"/>
                <w:szCs w:val="21"/>
                <w:highlight w:val="none"/>
                <w:lang w:val="en-US" w:eastAsia="zh-CN"/>
              </w:rPr>
              <w:t>/</w:t>
            </w:r>
            <w:bookmarkEnd w:id="21"/>
            <w:r>
              <w:rPr>
                <w:rFonts w:hint="eastAsia" w:ascii="方正仿宋_GBK" w:hAnsi="宋体" w:eastAsia="方正仿宋_GBK"/>
                <w:sz w:val="21"/>
                <w:szCs w:val="21"/>
                <w:highlight w:val="none"/>
              </w:rPr>
              <w:t>篇</w:t>
            </w:r>
            <w:bookmarkEnd w:id="22"/>
            <w:bookmarkEnd w:id="23"/>
            <w:r>
              <w:rPr>
                <w:rFonts w:hint="eastAsia" w:ascii="方正仿宋_GBK" w:hAnsi="宋体" w:eastAsia="方正仿宋_GBK"/>
                <w:sz w:val="21"/>
                <w:szCs w:val="21"/>
                <w:highlight w:val="none"/>
              </w:rPr>
              <w:t>（单价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3</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ascii="PingFangSC-Regular" w:hAnsi="PingFangSC-Regular"/>
                <w:color w:val="333333"/>
                <w:sz w:val="21"/>
                <w:szCs w:val="21"/>
                <w:highlight w:val="none"/>
                <w:shd w:val="clear" w:color="auto" w:fill="FFFFFF"/>
              </w:rPr>
              <w:t>视频制作</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常规固定机位科普短视频5分钟以内</w:t>
            </w:r>
            <w:r>
              <w:rPr>
                <w:rFonts w:hint="eastAsia" w:ascii="PingFangSC-Regular" w:hAnsi="PingFangSC-Regular"/>
                <w:color w:val="333333"/>
                <w:sz w:val="21"/>
                <w:szCs w:val="21"/>
                <w:highlight w:val="none"/>
                <w:shd w:val="clear" w:color="auto" w:fill="FFFFFF"/>
              </w:rPr>
              <w:t>）</w:t>
            </w:r>
            <w:r>
              <w:rPr>
                <w:rFonts w:hint="eastAsia" w:ascii="PingFangSC-Regular" w:hAnsi="PingFangSC-Regular"/>
                <w:color w:val="333333"/>
                <w:sz w:val="21"/>
                <w:szCs w:val="21"/>
                <w:highlight w:val="none"/>
                <w:shd w:val="clear" w:color="auto" w:fill="FFFFFF"/>
                <w:lang w:eastAsia="zh-CN"/>
              </w:rPr>
              <w:t>及华龙网相关平台发布</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lang w:eastAsia="zh-CN"/>
              </w:rPr>
              <w:t>元</w:t>
            </w:r>
            <w:r>
              <w:rPr>
                <w:rFonts w:hint="eastAsia" w:ascii="方正仿宋_GBK" w:hAnsi="宋体" w:eastAsia="方正仿宋_GBK"/>
                <w:sz w:val="21"/>
                <w:szCs w:val="21"/>
                <w:highlight w:val="none"/>
                <w:lang w:val="en-US" w:eastAsia="zh-CN"/>
              </w:rPr>
              <w:t>/</w:t>
            </w:r>
            <w:r>
              <w:rPr>
                <w:rFonts w:hint="eastAsia" w:ascii="方正仿宋_GBK" w:hAnsi="宋体" w:eastAsia="方正仿宋_GBK"/>
                <w:sz w:val="21"/>
                <w:szCs w:val="21"/>
                <w:highlight w:val="none"/>
              </w:rPr>
              <w:t>个（单价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4</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highlight w:val="none"/>
                <w:shd w:val="clear" w:color="auto" w:fill="FFFFFF"/>
              </w:rPr>
            </w:pPr>
            <w:r>
              <w:rPr>
                <w:rFonts w:ascii="PingFangSC-Regular" w:hAnsi="PingFangSC-Regular"/>
                <w:color w:val="333333"/>
                <w:sz w:val="21"/>
                <w:szCs w:val="21"/>
                <w:highlight w:val="none"/>
                <w:shd w:val="clear" w:color="auto" w:fill="FFFFFF"/>
              </w:rPr>
              <w:t>视频制作</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常规宣传片10分钟以内</w:t>
            </w:r>
            <w:r>
              <w:rPr>
                <w:rFonts w:hint="eastAsia" w:ascii="PingFangSC-Regular" w:hAnsi="PingFangSC-Regular"/>
                <w:color w:val="333333"/>
                <w:sz w:val="21"/>
                <w:szCs w:val="21"/>
                <w:highlight w:val="none"/>
                <w:shd w:val="clear" w:color="auto" w:fill="FFFFFF"/>
              </w:rPr>
              <w:t>）</w:t>
            </w:r>
          </w:p>
          <w:p>
            <w:pPr>
              <w:jc w:val="center"/>
              <w:rPr>
                <w:rFonts w:hint="eastAsia" w:ascii="PingFangSC-Regular" w:hAnsi="PingFangSC-Regular"/>
                <w:color w:val="333333"/>
                <w:sz w:val="21"/>
                <w:szCs w:val="21"/>
                <w:highlight w:val="none"/>
                <w:shd w:val="clear" w:color="auto" w:fill="FFFFFF"/>
              </w:rPr>
            </w:pPr>
            <w:r>
              <w:rPr>
                <w:rFonts w:hint="eastAsia" w:ascii="PingFangSC-Regular" w:hAnsi="PingFangSC-Regular"/>
                <w:color w:val="333333"/>
                <w:sz w:val="21"/>
                <w:szCs w:val="21"/>
                <w:highlight w:val="none"/>
                <w:shd w:val="clear" w:color="auto" w:fill="FFFFFF"/>
                <w:lang w:eastAsia="zh-CN"/>
              </w:rPr>
              <w:t>及华龙网相关平台发布</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lang w:eastAsia="zh-CN"/>
              </w:rPr>
              <w:t>元</w:t>
            </w:r>
            <w:r>
              <w:rPr>
                <w:rFonts w:hint="eastAsia" w:ascii="方正仿宋_GBK" w:hAnsi="宋体" w:eastAsia="方正仿宋_GBK"/>
                <w:sz w:val="21"/>
                <w:szCs w:val="21"/>
                <w:highlight w:val="none"/>
                <w:lang w:val="en-US" w:eastAsia="zh-CN"/>
              </w:rPr>
              <w:t>/</w:t>
            </w:r>
            <w:r>
              <w:rPr>
                <w:rFonts w:hint="eastAsia" w:ascii="方正仿宋_GBK" w:hAnsi="宋体" w:eastAsia="方正仿宋_GBK"/>
                <w:sz w:val="21"/>
                <w:szCs w:val="21"/>
                <w:highlight w:val="none"/>
              </w:rPr>
              <w:t>个（单价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5</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PingFangSC-Regular" w:hAnsi="PingFangSC-Regular"/>
                <w:color w:val="333333"/>
                <w:sz w:val="21"/>
                <w:szCs w:val="21"/>
                <w:highlight w:val="none"/>
                <w:shd w:val="clear" w:color="auto" w:fill="FFFFFF"/>
              </w:rPr>
            </w:pPr>
            <w:r>
              <w:rPr>
                <w:rFonts w:ascii="PingFangSC-Regular" w:hAnsi="PingFangSC-Regular"/>
                <w:color w:val="333333"/>
                <w:sz w:val="21"/>
                <w:szCs w:val="21"/>
                <w:highlight w:val="none"/>
                <w:shd w:val="clear" w:color="auto" w:fill="FFFFFF"/>
              </w:rPr>
              <w:t>活动策划直播</w:t>
            </w:r>
            <w:r>
              <w:rPr>
                <w:rFonts w:hint="eastAsia" w:ascii="PingFangSC-Regular" w:hAnsi="PingFangSC-Regular"/>
                <w:color w:val="333333"/>
                <w:sz w:val="21"/>
                <w:szCs w:val="21"/>
                <w:highlight w:val="none"/>
                <w:shd w:val="clear" w:color="auto" w:fill="FFFFFF"/>
              </w:rPr>
              <w:t>（</w:t>
            </w:r>
            <w:r>
              <w:rPr>
                <w:rFonts w:ascii="PingFangSC-Regular" w:hAnsi="PingFangSC-Regular"/>
                <w:color w:val="333333"/>
                <w:sz w:val="21"/>
                <w:szCs w:val="21"/>
                <w:highlight w:val="none"/>
                <w:shd w:val="clear" w:color="auto" w:fill="FFFFFF"/>
              </w:rPr>
              <w:t>含活动方案撰写、现场布置、现场图文视频直播、华龙网信息发布，华龙网app同步直播。</w:t>
            </w:r>
            <w:r>
              <w:rPr>
                <w:rFonts w:hint="eastAsia" w:ascii="PingFangSC-Regular" w:hAnsi="PingFangSC-Regular"/>
                <w:color w:val="333333"/>
                <w:sz w:val="21"/>
                <w:szCs w:val="21"/>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lang w:eastAsia="zh-CN"/>
              </w:rPr>
              <w:t>元</w:t>
            </w:r>
            <w:r>
              <w:rPr>
                <w:rFonts w:hint="eastAsia" w:ascii="方正仿宋_GBK" w:hAnsi="宋体" w:eastAsia="方正仿宋_GBK"/>
                <w:sz w:val="21"/>
                <w:szCs w:val="21"/>
                <w:highlight w:val="none"/>
                <w:lang w:val="en-US" w:eastAsia="zh-CN"/>
              </w:rPr>
              <w:t>/</w:t>
            </w:r>
            <w:r>
              <w:rPr>
                <w:rFonts w:hint="eastAsia" w:ascii="方正仿宋_GBK" w:hAnsi="宋体" w:eastAsia="方正仿宋_GBK"/>
                <w:sz w:val="21"/>
                <w:szCs w:val="21"/>
                <w:highlight w:val="none"/>
              </w:rPr>
              <w:t>场</w:t>
            </w:r>
            <w:r>
              <w:rPr>
                <w:rFonts w:hint="eastAsia" w:ascii="方正仿宋_GBK" w:hAnsi="宋体" w:eastAsia="方正仿宋_GBK"/>
                <w:sz w:val="21"/>
                <w:szCs w:val="21"/>
                <w:highlight w:val="none"/>
                <w:lang w:eastAsia="zh-CN"/>
              </w:rPr>
              <w:t>（全天）</w:t>
            </w:r>
            <w:r>
              <w:rPr>
                <w:rFonts w:hint="eastAsia" w:ascii="方正仿宋_GBK" w:hAnsi="宋体" w:eastAsia="方正仿宋_GBK"/>
                <w:sz w:val="21"/>
                <w:szCs w:val="21"/>
                <w:highlight w:val="none"/>
              </w:rPr>
              <w:t>（单价</w:t>
            </w:r>
            <w:r>
              <w:rPr>
                <w:rFonts w:ascii="方正仿宋_GBK" w:hAnsi="宋体" w:eastAsia="方正仿宋_GBK"/>
                <w:sz w:val="21"/>
                <w:szCs w:val="21"/>
                <w:highlight w:val="none"/>
              </w:rPr>
              <w:t>采购</w:t>
            </w:r>
            <w:r>
              <w:rPr>
                <w:rFonts w:hint="eastAsia" w:ascii="方正仿宋_GBK" w:hAnsi="宋体" w:eastAsia="方正仿宋_GBK"/>
                <w:sz w:val="21"/>
                <w:szCs w:val="21"/>
                <w:highlight w:val="none"/>
              </w:rPr>
              <w:t>）</w:t>
            </w:r>
          </w:p>
        </w:tc>
      </w:tr>
    </w:tbl>
    <w:p>
      <w:pPr>
        <w:rPr>
          <w:highlight w:val="none"/>
        </w:rPr>
      </w:pPr>
    </w:p>
    <w:p>
      <w:pPr>
        <w:pStyle w:val="4"/>
        <w:rPr>
          <w:highlight w:val="none"/>
        </w:rPr>
      </w:pPr>
      <w:bookmarkStart w:id="24" w:name="_Toc29719"/>
      <w:r>
        <w:rPr>
          <w:rFonts w:hint="eastAsia"/>
          <w:highlight w:val="none"/>
        </w:rPr>
        <w:t>二、采购项目技术/服务要求</w:t>
      </w:r>
      <w:bookmarkEnd w:id="24"/>
    </w:p>
    <w:tbl>
      <w:tblPr>
        <w:tblStyle w:val="11"/>
        <w:tblpPr w:leftFromText="180" w:rightFromText="180" w:vertAnchor="text" w:horzAnchor="margin" w:tblpY="225"/>
        <w:tblOverlap w:val="never"/>
        <w:tblW w:w="9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8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987"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8394" w:type="dxa"/>
            <w:vAlign w:val="center"/>
          </w:tcPr>
          <w:p>
            <w:pPr>
              <w:rPr>
                <w:rFonts w:ascii="方正仿宋_GBK" w:hAnsi="宋体" w:eastAsia="方正仿宋_GBK"/>
                <w:sz w:val="21"/>
                <w:szCs w:val="21"/>
                <w:highlight w:val="none"/>
              </w:rPr>
            </w:pPr>
            <w:r>
              <w:rPr>
                <w:rFonts w:hint="eastAsia" w:ascii="微软雅黑" w:hAnsi="微软雅黑" w:eastAsia="微软雅黑"/>
                <w:color w:val="333333"/>
                <w:sz w:val="21"/>
                <w:szCs w:val="21"/>
                <w:highlight w:val="none"/>
                <w:shd w:val="clear" w:color="auto" w:fill="FFFFFF"/>
              </w:rPr>
              <w:t>信息发布：发布医院日常性、节点性新闻报道。在日常报道方面，将根据甲方提供的素材，及时、准确地展现医院动态，包括但不限于医疗服务开展情况、新设备投入使用、医护人员培训等内容。针对节点性新闻，如重要医疗政策发布、医院周年庆、特殊医疗成果阶段性汇报等关键时间节点，乙方将结合甲方所提供的详细信息，精心策划报道方案，确保新闻报道既突出重点，又具备较高的传播价值，以提升医院的社会关注度与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7"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8394" w:type="dxa"/>
            <w:vAlign w:val="center"/>
          </w:tcPr>
          <w:p>
            <w:pPr>
              <w:widowControl/>
              <w:rPr>
                <w:rFonts w:ascii="方正仿宋_GBK" w:hAnsi="宋体" w:eastAsia="方正仿宋_GBK"/>
                <w:sz w:val="21"/>
                <w:szCs w:val="21"/>
                <w:highlight w:val="none"/>
              </w:rPr>
            </w:pPr>
            <w:r>
              <w:rPr>
                <w:rFonts w:hint="eastAsia" w:ascii="微软雅黑" w:hAnsi="微软雅黑" w:eastAsia="微软雅黑"/>
                <w:color w:val="333333"/>
                <w:sz w:val="21"/>
                <w:szCs w:val="21"/>
                <w:highlight w:val="none"/>
                <w:shd w:val="clear" w:color="auto" w:fill="FFFFFF"/>
              </w:rPr>
              <w:t>视频制作：科普视频需清晰展现医务人员精神面貌，增强视频策划的传播性，对内容有一定的编排设计。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87"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8394" w:type="dxa"/>
            <w:vAlign w:val="center"/>
          </w:tcPr>
          <w:p>
            <w:pPr>
              <w:widowControl/>
              <w:rPr>
                <w:rFonts w:hAnsi="宋体"/>
                <w:sz w:val="28"/>
                <w:szCs w:val="28"/>
                <w:highlight w:val="none"/>
              </w:rPr>
            </w:pPr>
            <w:r>
              <w:rPr>
                <w:rFonts w:hint="eastAsia" w:ascii="微软雅黑" w:hAnsi="微软雅黑" w:eastAsia="微软雅黑"/>
                <w:color w:val="333333"/>
                <w:sz w:val="21"/>
                <w:szCs w:val="21"/>
                <w:highlight w:val="none"/>
                <w:shd w:val="clear" w:color="auto" w:fill="FFFFFF"/>
              </w:rPr>
              <w:t>针对宣传片：医院重要活动、重大事件，派遣经验丰富、技艺精湛的专业拍摄人员前往现场。拍摄人员配备专业级摄影摄像设备，能够依据活动与事件的特性，灵活运用多角度拍摄、特写捕捉等手法，精准记录活动流程与事件关键环节。拍摄完成后，制作团队将在规定时间内，凭借先进的视频剪辑软件与特效制作技术，精心剪辑素材，融入合适的音乐、字幕，制作出兼具专业性与吸引力的宣传短视频，全方位展现医院的风采与成就，助力提升医院的品牌形象与社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87" w:type="dxa"/>
            <w:vAlign w:val="center"/>
          </w:tcPr>
          <w:p>
            <w:pPr>
              <w:jc w:val="center"/>
              <w:rPr>
                <w:rFonts w:ascii="方正仿宋_GBK" w:hAnsi="宋体" w:eastAsia="方正仿宋_GBK"/>
                <w:sz w:val="21"/>
                <w:szCs w:val="21"/>
                <w:highlight w:val="none"/>
              </w:rPr>
            </w:pPr>
            <w:r>
              <w:rPr>
                <w:rFonts w:ascii="方正仿宋_GBK" w:hAnsi="宋体" w:eastAsia="方正仿宋_GBK"/>
                <w:sz w:val="21"/>
                <w:szCs w:val="21"/>
                <w:highlight w:val="none"/>
              </w:rPr>
              <w:t>4</w:t>
            </w:r>
          </w:p>
        </w:tc>
        <w:tc>
          <w:tcPr>
            <w:tcW w:w="8394" w:type="dxa"/>
            <w:vAlign w:val="center"/>
          </w:tcPr>
          <w:p>
            <w:pPr>
              <w:widowControl/>
              <w:rPr>
                <w:rFonts w:hAnsi="宋体"/>
                <w:sz w:val="28"/>
                <w:szCs w:val="28"/>
                <w:highlight w:val="none"/>
              </w:rPr>
            </w:pPr>
            <w:r>
              <w:rPr>
                <w:rFonts w:hint="eastAsia" w:ascii="微软雅黑" w:hAnsi="微软雅黑" w:eastAsia="微软雅黑"/>
                <w:color w:val="333333"/>
                <w:sz w:val="21"/>
                <w:szCs w:val="21"/>
                <w:highlight w:val="none"/>
                <w:shd w:val="clear" w:color="auto" w:fill="FFFFFF"/>
              </w:rPr>
              <w:t>稿件撰写发布：在医院各重要节点、重要事项上，安排经验丰富、专业素养过硬的资深记者深入医院。记者凭借敏锐的新闻洞察力与扎实的采写功底，深入挖掘事件背后的新闻价值，全面收集一手资料，精心撰写稿件。稿件完成后，经甲方审核通过，将及时在双方约定的权威媒体平台发布，确保医院的重要动态能够迅速、准确地传达给目标受众，提升医院的社会知名度与美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87" w:type="dxa"/>
            <w:vAlign w:val="center"/>
          </w:tcPr>
          <w:p>
            <w:pPr>
              <w:jc w:val="center"/>
              <w:rPr>
                <w:rFonts w:ascii="方正仿宋_GBK" w:hAnsi="宋体" w:eastAsia="方正仿宋_GBK"/>
                <w:sz w:val="21"/>
                <w:szCs w:val="21"/>
                <w:highlight w:val="none"/>
              </w:rPr>
            </w:pPr>
            <w:r>
              <w:rPr>
                <w:rFonts w:ascii="方正仿宋_GBK" w:hAnsi="宋体" w:eastAsia="方正仿宋_GBK"/>
                <w:sz w:val="21"/>
                <w:szCs w:val="21"/>
                <w:highlight w:val="none"/>
              </w:rPr>
              <w:t>5</w:t>
            </w:r>
          </w:p>
        </w:tc>
        <w:tc>
          <w:tcPr>
            <w:tcW w:w="8394" w:type="dxa"/>
            <w:vAlign w:val="center"/>
          </w:tcPr>
          <w:p>
            <w:pPr>
              <w:widowControl/>
              <w:rPr>
                <w:rFonts w:hAnsi="宋体"/>
                <w:sz w:val="28"/>
                <w:szCs w:val="28"/>
                <w:highlight w:val="none"/>
              </w:rPr>
            </w:pPr>
            <w:r>
              <w:rPr>
                <w:rFonts w:hint="eastAsia" w:ascii="微软雅黑" w:hAnsi="微软雅黑" w:eastAsia="微软雅黑"/>
                <w:color w:val="333333"/>
                <w:sz w:val="21"/>
                <w:szCs w:val="21"/>
                <w:highlight w:val="none"/>
                <w:shd w:val="clear" w:color="auto" w:fill="FFFFFF"/>
              </w:rPr>
              <w:t>活动策划直播：策划有传播效果、具有创新视角的活动方案，包括前期沟通、与活动参录人员的对接以及活动的执行落地需全程参与，现场提供活动主持人和物料设计制作，完成对活动的录制和直播。</w:t>
            </w:r>
          </w:p>
        </w:tc>
      </w:tr>
    </w:tbl>
    <w:p>
      <w:pPr>
        <w:rPr>
          <w:rFonts w:hAnsi="宋体" w:cs="宋体"/>
          <w:highlight w:val="none"/>
        </w:rPr>
      </w:pPr>
      <w:bookmarkStart w:id="25" w:name="_Toc19113858"/>
      <w:bookmarkStart w:id="26" w:name="_Toc267320049"/>
      <w:r>
        <w:rPr>
          <w:rFonts w:hint="eastAsia" w:hAnsi="宋体" w:cs="宋体"/>
          <w:highlight w:val="none"/>
        </w:rPr>
        <w:br w:type="page"/>
      </w:r>
    </w:p>
    <w:p>
      <w:pPr>
        <w:pStyle w:val="3"/>
        <w:spacing w:line="360" w:lineRule="auto"/>
        <w:rPr>
          <w:rFonts w:ascii="宋体" w:hAnsi="宋体" w:eastAsia="宋体" w:cs="宋体"/>
          <w:sz w:val="28"/>
          <w:szCs w:val="28"/>
          <w:highlight w:val="none"/>
        </w:rPr>
      </w:pPr>
      <w:bookmarkStart w:id="27" w:name="_Toc31562"/>
      <w:r>
        <w:rPr>
          <w:rFonts w:hint="eastAsia" w:ascii="宋体" w:hAnsi="宋体" w:eastAsia="宋体" w:cs="宋体"/>
          <w:highlight w:val="none"/>
        </w:rPr>
        <w:t>第三篇 项目商务要求</w:t>
      </w:r>
      <w:bookmarkEnd w:id="25"/>
      <w:bookmarkEnd w:id="27"/>
      <w:bookmarkStart w:id="28" w:name="_Toc505608529"/>
    </w:p>
    <w:bookmarkEnd w:id="26"/>
    <w:bookmarkEnd w:id="28"/>
    <w:p>
      <w:pPr>
        <w:pStyle w:val="4"/>
        <w:ind w:firstLine="120" w:firstLineChars="50"/>
        <w:rPr>
          <w:rFonts w:ascii="宋体" w:hAnsi="宋体" w:cs="宋体"/>
          <w:bCs w:val="0"/>
          <w:kern w:val="0"/>
          <w:sz w:val="24"/>
          <w:szCs w:val="24"/>
          <w:highlight w:val="none"/>
        </w:rPr>
      </w:pPr>
      <w:bookmarkStart w:id="29" w:name="_Toc27468"/>
      <w:bookmarkStart w:id="30" w:name="_Toc267320051"/>
      <w:bookmarkStart w:id="31" w:name="_Toc505608532"/>
      <w:r>
        <w:rPr>
          <w:rFonts w:hint="eastAsia" w:ascii="宋体" w:hAnsi="宋体" w:cs="宋体"/>
          <w:bCs w:val="0"/>
          <w:kern w:val="0"/>
          <w:sz w:val="24"/>
          <w:szCs w:val="24"/>
          <w:highlight w:val="none"/>
        </w:rPr>
        <w:t>一、服务期</w:t>
      </w:r>
      <w:bookmarkEnd w:id="29"/>
    </w:p>
    <w:p>
      <w:pPr>
        <w:ind w:firstLine="480" w:firstLineChars="200"/>
        <w:rPr>
          <w:rFonts w:hAnsi="宋体" w:cs="宋体"/>
          <w:szCs w:val="24"/>
          <w:highlight w:val="none"/>
        </w:rPr>
      </w:pPr>
      <w:r>
        <w:rPr>
          <w:rFonts w:hint="eastAsia" w:hAnsi="宋体" w:cs="宋体"/>
          <w:sz w:val="24"/>
          <w:szCs w:val="24"/>
          <w:highlight w:val="none"/>
        </w:rPr>
        <w:t>服务期1年。</w:t>
      </w:r>
    </w:p>
    <w:p>
      <w:pPr>
        <w:pStyle w:val="4"/>
        <w:ind w:firstLine="120" w:firstLineChars="50"/>
        <w:rPr>
          <w:rFonts w:ascii="宋体" w:hAnsi="宋体" w:cs="宋体"/>
          <w:bCs w:val="0"/>
          <w:kern w:val="0"/>
          <w:sz w:val="24"/>
          <w:szCs w:val="24"/>
          <w:highlight w:val="none"/>
        </w:rPr>
      </w:pPr>
      <w:bookmarkStart w:id="32" w:name="_Toc8554"/>
      <w:r>
        <w:rPr>
          <w:rFonts w:hint="eastAsia" w:ascii="宋体" w:hAnsi="宋体" w:cs="宋体"/>
          <w:bCs w:val="0"/>
          <w:kern w:val="0"/>
          <w:sz w:val="24"/>
          <w:szCs w:val="24"/>
          <w:highlight w:val="none"/>
        </w:rPr>
        <w:t>二、报价要求</w:t>
      </w:r>
      <w:bookmarkEnd w:id="32"/>
    </w:p>
    <w:p>
      <w:pPr>
        <w:ind w:firstLine="480" w:firstLineChars="200"/>
        <w:rPr>
          <w:highlight w:val="none"/>
        </w:rPr>
      </w:pPr>
      <w:r>
        <w:rPr>
          <w:rFonts w:hint="eastAsia" w:hAnsi="宋体" w:cs="宋体"/>
          <w:sz w:val="24"/>
          <w:szCs w:val="24"/>
          <w:highlight w:val="none"/>
        </w:rPr>
        <w:t>除华龙网信息发布不限次以包干价报价以外，其余项目报单价。按实际使用据实结算。本次报价须为人民币报价，包含：服务费、保险费、宣传费、调试费、售后服务费、税费、培训费等完成本项目的所有费用。</w:t>
      </w:r>
    </w:p>
    <w:p>
      <w:pPr>
        <w:pStyle w:val="4"/>
        <w:rPr>
          <w:rFonts w:ascii="宋体" w:hAnsi="宋体" w:cs="宋体"/>
          <w:bCs w:val="0"/>
          <w:kern w:val="0"/>
          <w:sz w:val="24"/>
          <w:szCs w:val="24"/>
          <w:highlight w:val="none"/>
        </w:rPr>
      </w:pPr>
      <w:bookmarkStart w:id="33" w:name="_Toc26576"/>
      <w:r>
        <w:rPr>
          <w:rFonts w:hint="eastAsia" w:ascii="宋体" w:hAnsi="宋体" w:cs="宋体"/>
          <w:bCs w:val="0"/>
          <w:kern w:val="0"/>
          <w:sz w:val="24"/>
          <w:szCs w:val="24"/>
          <w:highlight w:val="none"/>
        </w:rPr>
        <w:t>三、质量保证及售后服务</w:t>
      </w:r>
      <w:bookmarkEnd w:id="33"/>
    </w:p>
    <w:p>
      <w:pPr>
        <w:ind w:firstLine="424" w:firstLineChars="177"/>
        <w:rPr>
          <w:rFonts w:hAnsi="宋体" w:cs="宋体"/>
          <w:sz w:val="24"/>
          <w:szCs w:val="24"/>
          <w:highlight w:val="none"/>
        </w:rPr>
      </w:pPr>
      <w:r>
        <w:rPr>
          <w:rFonts w:hint="eastAsia" w:hAnsi="宋体" w:cs="宋体"/>
          <w:sz w:val="24"/>
          <w:szCs w:val="24"/>
          <w:highlight w:val="none"/>
        </w:rPr>
        <w:t>3.1质量保证要求</w:t>
      </w:r>
    </w:p>
    <w:p>
      <w:pPr>
        <w:ind w:firstLine="424" w:firstLineChars="177"/>
        <w:rPr>
          <w:rFonts w:hAnsi="宋体" w:cs="宋体"/>
          <w:sz w:val="24"/>
          <w:szCs w:val="24"/>
          <w:highlight w:val="none"/>
        </w:rPr>
      </w:pPr>
      <w:r>
        <w:rPr>
          <w:rFonts w:hint="eastAsia" w:hAnsi="宋体" w:cs="宋体"/>
          <w:sz w:val="24"/>
          <w:szCs w:val="24"/>
          <w:highlight w:val="none"/>
        </w:rPr>
        <w:t>投标人应按照采购人的相关要求进行新闻采写和修改，稿件发布前需经采购人审核同意后方可发布。</w:t>
      </w:r>
    </w:p>
    <w:p>
      <w:pPr>
        <w:ind w:firstLine="424" w:firstLineChars="177"/>
        <w:rPr>
          <w:rFonts w:hAnsi="宋体" w:cs="宋体"/>
          <w:sz w:val="24"/>
          <w:szCs w:val="24"/>
          <w:highlight w:val="none"/>
        </w:rPr>
      </w:pPr>
      <w:r>
        <w:rPr>
          <w:rFonts w:hint="eastAsia" w:hAnsi="宋体" w:cs="宋体"/>
          <w:sz w:val="24"/>
          <w:szCs w:val="24"/>
          <w:highlight w:val="none"/>
        </w:rPr>
        <w:t>3.2.售后服务内容</w:t>
      </w:r>
    </w:p>
    <w:p>
      <w:pPr>
        <w:ind w:firstLine="424" w:firstLineChars="177"/>
        <w:rPr>
          <w:rFonts w:hAnsi="宋体" w:cs="宋体"/>
          <w:szCs w:val="24"/>
          <w:highlight w:val="none"/>
        </w:rPr>
      </w:pPr>
      <w:r>
        <w:rPr>
          <w:rFonts w:hint="eastAsia" w:hAnsi="宋体" w:cs="宋体"/>
          <w:sz w:val="24"/>
          <w:szCs w:val="24"/>
          <w:highlight w:val="none"/>
        </w:rPr>
        <w:t>投标人应在采购人提出采写需求后积极配合，在保证稿件质量的前提下提高出稿率。涉及视频拍摄及制作，需按照采购人需求进行修改直至出片。</w:t>
      </w:r>
    </w:p>
    <w:p>
      <w:pPr>
        <w:pStyle w:val="4"/>
        <w:rPr>
          <w:rFonts w:ascii="宋体" w:hAnsi="宋体" w:cs="宋体"/>
          <w:bCs w:val="0"/>
          <w:kern w:val="0"/>
          <w:sz w:val="24"/>
          <w:szCs w:val="24"/>
          <w:highlight w:val="none"/>
        </w:rPr>
      </w:pPr>
      <w:bookmarkStart w:id="34" w:name="_Toc10443"/>
      <w:r>
        <w:rPr>
          <w:rFonts w:hint="eastAsia" w:ascii="宋体" w:hAnsi="宋体" w:cs="宋体"/>
          <w:bCs w:val="0"/>
          <w:kern w:val="0"/>
          <w:sz w:val="24"/>
          <w:szCs w:val="24"/>
          <w:highlight w:val="none"/>
        </w:rPr>
        <w:t>四、付款方式</w:t>
      </w:r>
      <w:bookmarkEnd w:id="30"/>
      <w:bookmarkEnd w:id="31"/>
      <w:bookmarkEnd w:id="34"/>
    </w:p>
    <w:p>
      <w:pPr>
        <w:ind w:firstLine="480" w:firstLineChars="200"/>
        <w:rPr>
          <w:rFonts w:hAnsi="宋体" w:cs="宋体"/>
          <w:szCs w:val="24"/>
          <w:highlight w:val="none"/>
        </w:rPr>
      </w:pPr>
      <w:bookmarkStart w:id="35" w:name="_Toc267320052"/>
      <w:bookmarkStart w:id="36" w:name="_Toc505608533"/>
      <w:r>
        <w:rPr>
          <w:rFonts w:hint="eastAsia" w:hAnsi="宋体" w:cs="宋体"/>
          <w:sz w:val="24"/>
          <w:szCs w:val="24"/>
          <w:highlight w:val="none"/>
        </w:rPr>
        <w:t>自合作协议起算之日起并收到发票15个工作日内，将合同总额的50%服务费转入供应商账户；合作到期后15个工作日内，收到供应商的服务清单以及发票，经采购人验收合格后，将合同总额的50%服务费支付给供应商。在合作期内单次采购的项目，在每次项目结束后，供应商出具服务清单，经采购人验收合格后单次结算。</w:t>
      </w:r>
    </w:p>
    <w:p>
      <w:pPr>
        <w:pStyle w:val="4"/>
        <w:rPr>
          <w:rFonts w:ascii="宋体" w:hAnsi="宋体" w:cs="宋体"/>
          <w:bCs w:val="0"/>
          <w:kern w:val="0"/>
          <w:sz w:val="24"/>
          <w:szCs w:val="24"/>
          <w:highlight w:val="none"/>
        </w:rPr>
      </w:pPr>
      <w:bookmarkStart w:id="37" w:name="_Toc32260"/>
      <w:r>
        <w:rPr>
          <w:rFonts w:hint="eastAsia" w:ascii="宋体" w:hAnsi="宋体" w:cs="宋体"/>
          <w:bCs w:val="0"/>
          <w:kern w:val="0"/>
          <w:sz w:val="24"/>
          <w:szCs w:val="24"/>
          <w:highlight w:val="none"/>
        </w:rPr>
        <w:t>五、知识产权</w:t>
      </w:r>
      <w:bookmarkEnd w:id="35"/>
      <w:bookmarkEnd w:id="36"/>
      <w:bookmarkEnd w:id="37"/>
    </w:p>
    <w:p>
      <w:pPr>
        <w:ind w:firstLine="424" w:firstLineChars="177"/>
        <w:rPr>
          <w:rFonts w:hAnsi="宋体" w:cs="宋体"/>
          <w:sz w:val="24"/>
          <w:szCs w:val="24"/>
          <w:highlight w:val="none"/>
        </w:rPr>
      </w:pPr>
      <w:r>
        <w:rPr>
          <w:rFonts w:hint="eastAsia" w:hAnsi="宋体" w:cs="宋体"/>
          <w:sz w:val="24"/>
          <w:szCs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r>
        <w:rPr>
          <w:rFonts w:hint="eastAsia"/>
          <w:sz w:val="24"/>
          <w:szCs w:val="24"/>
          <w:highlight w:val="none"/>
        </w:rPr>
        <w:br w:type="textWrapping"/>
      </w:r>
      <w:bookmarkStart w:id="38" w:name="_Toc505608534"/>
      <w:bookmarkStart w:id="39" w:name="_Toc86160627"/>
      <w:bookmarkStart w:id="40" w:name="_Toc28607"/>
      <w:bookmarkStart w:id="41" w:name="_Toc75252322"/>
      <w:bookmarkStart w:id="42" w:name="_Toc267320053"/>
      <w:r>
        <w:rPr>
          <w:rStyle w:val="14"/>
          <w:rFonts w:hint="eastAsia"/>
          <w:highlight w:val="none"/>
        </w:rPr>
        <w:t>六、培训</w:t>
      </w:r>
      <w:bookmarkEnd w:id="38"/>
      <w:bookmarkEnd w:id="39"/>
      <w:bookmarkEnd w:id="40"/>
      <w:bookmarkEnd w:id="41"/>
      <w:bookmarkEnd w:id="42"/>
    </w:p>
    <w:p>
      <w:pPr>
        <w:ind w:firstLine="424" w:firstLineChars="177"/>
        <w:rPr>
          <w:rFonts w:hAnsi="宋体" w:cs="宋体"/>
          <w:sz w:val="24"/>
          <w:szCs w:val="24"/>
          <w:highlight w:val="none"/>
        </w:rPr>
      </w:pPr>
      <w:r>
        <w:rPr>
          <w:rFonts w:hint="eastAsia" w:hAnsi="宋体" w:cs="宋体"/>
          <w:sz w:val="24"/>
          <w:szCs w:val="24"/>
          <w:highlight w:val="none"/>
        </w:rPr>
        <w:t>投标人视服务内容需求免费提供相关培训服务。</w:t>
      </w:r>
    </w:p>
    <w:p>
      <w:pPr>
        <w:pStyle w:val="4"/>
        <w:rPr>
          <w:rFonts w:ascii="宋体" w:hAnsi="宋体" w:cs="宋体"/>
          <w:bCs w:val="0"/>
          <w:kern w:val="0"/>
          <w:sz w:val="24"/>
          <w:szCs w:val="24"/>
          <w:highlight w:val="none"/>
        </w:rPr>
      </w:pPr>
      <w:bookmarkStart w:id="43" w:name="_Toc267320054"/>
      <w:bookmarkStart w:id="44" w:name="_Toc505608536"/>
      <w:bookmarkStart w:id="45" w:name="_Toc30672"/>
      <w:r>
        <w:rPr>
          <w:rFonts w:hint="eastAsia" w:ascii="宋体" w:hAnsi="宋体" w:cs="宋体"/>
          <w:bCs w:val="0"/>
          <w:kern w:val="0"/>
          <w:sz w:val="24"/>
          <w:szCs w:val="24"/>
          <w:highlight w:val="none"/>
        </w:rPr>
        <w:t>七、</w:t>
      </w:r>
      <w:bookmarkEnd w:id="43"/>
      <w:r>
        <w:rPr>
          <w:rFonts w:hint="eastAsia" w:ascii="宋体" w:hAnsi="宋体" w:cs="宋体"/>
          <w:bCs w:val="0"/>
          <w:kern w:val="0"/>
          <w:sz w:val="24"/>
          <w:szCs w:val="24"/>
          <w:highlight w:val="none"/>
        </w:rPr>
        <w:t>其他商务要求内容</w:t>
      </w:r>
      <w:bookmarkEnd w:id="44"/>
      <w:bookmarkEnd w:id="45"/>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7.1.投标人必须在响应文件中对以上条款和服务承诺明确列出，承诺内容必须达到本篇及竞争性比选文件其他条款的要求。</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7.2.其他未尽事宜由供需双方在采购合同中详细约定，投标人在响应文件中所承诺的所有经济、技术和商务条款都要纳入成交合同中。</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7.3.如中标人因违反或不履行投标时承诺的商务和技术要求时，采购人保留对技术指标进行验证的权利，发现中标人及原生产厂家提供虚假参数的，采购人有权按照相关法律法规的规定，取消违反招标采购文件约定的中标人中标资格，以及按医院采购制度对其进行处罚。</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7.4.中标人应保证所提供的产品和服务整体功能的实现。如发生以下情况，采购人有权取消其成交资格：1、如中标人放弃成交项目或在签订合时擅自改变成交状态的；2、所提供的产品和服务在功能、参数等方面未满足响应文件及相关承诺的；3、证实提交了相关虚假文件的。发生上述情况，采购人除申请取消其成交资格同时，有权退货及终止合同，中标人一切损失自行承担。同时中标人按合同总价百分之三十赔付采购人延误损失。</w:t>
      </w:r>
    </w:p>
    <w:p>
      <w:pPr>
        <w:spacing w:line="360" w:lineRule="auto"/>
        <w:ind w:firstLine="360" w:firstLineChars="150"/>
        <w:rPr>
          <w:rFonts w:hAnsi="宋体" w:cs="方正仿宋_GBK"/>
          <w:sz w:val="24"/>
          <w:szCs w:val="24"/>
          <w:highlight w:val="none"/>
        </w:rPr>
      </w:pPr>
      <w:r>
        <w:rPr>
          <w:rFonts w:hint="eastAsia" w:hAnsi="宋体" w:cs="宋体"/>
          <w:sz w:val="24"/>
          <w:szCs w:val="24"/>
          <w:highlight w:val="none"/>
        </w:rPr>
        <w:t>7.5.竞争性比选文件、中标人的响应文件及有效承诺文件等，均为签订合同的依据，是合同不可分割的一部分。</w:t>
      </w:r>
    </w:p>
    <w:p>
      <w:pPr>
        <w:spacing w:line="360" w:lineRule="auto"/>
        <w:ind w:firstLine="480"/>
        <w:rPr>
          <w:rFonts w:hAnsi="宋体" w:cs="宋体"/>
          <w:sz w:val="28"/>
          <w:szCs w:val="28"/>
          <w:highlight w:val="none"/>
        </w:rPr>
      </w:pPr>
    </w:p>
    <w:p>
      <w:pPr>
        <w:spacing w:line="360" w:lineRule="auto"/>
        <w:ind w:firstLine="480"/>
        <w:rPr>
          <w:rFonts w:hAnsi="宋体" w:cs="宋体"/>
          <w:sz w:val="28"/>
          <w:szCs w:val="28"/>
          <w:highlight w:val="none"/>
        </w:rPr>
      </w:pPr>
      <w:r>
        <w:rPr>
          <w:rFonts w:hAnsi="宋体" w:cs="宋体"/>
          <w:sz w:val="28"/>
          <w:szCs w:val="28"/>
          <w:highlight w:val="none"/>
        </w:rPr>
        <w:br w:type="page"/>
      </w:r>
    </w:p>
    <w:p>
      <w:pPr>
        <w:pStyle w:val="3"/>
        <w:spacing w:line="360" w:lineRule="auto"/>
        <w:rPr>
          <w:rFonts w:ascii="宋体" w:hAnsi="宋体" w:eastAsia="宋体" w:cs="宋体"/>
          <w:highlight w:val="none"/>
        </w:rPr>
      </w:pPr>
      <w:bookmarkStart w:id="46" w:name="_Toc19113859"/>
      <w:bookmarkStart w:id="47" w:name="_Toc6193"/>
      <w:r>
        <w:rPr>
          <w:rFonts w:hint="eastAsia" w:ascii="宋体" w:hAnsi="宋体" w:eastAsia="宋体" w:cs="宋体"/>
          <w:highlight w:val="none"/>
        </w:rPr>
        <w:t>第四篇 资格审查及评分办法</w:t>
      </w:r>
      <w:bookmarkEnd w:id="46"/>
      <w:bookmarkEnd w:id="47"/>
    </w:p>
    <w:p>
      <w:pPr>
        <w:pStyle w:val="4"/>
        <w:rPr>
          <w:highlight w:val="none"/>
        </w:rPr>
      </w:pPr>
      <w:bookmarkStart w:id="48" w:name="_Toc24365"/>
      <w:r>
        <w:rPr>
          <w:rFonts w:hint="eastAsia"/>
          <w:highlight w:val="none"/>
        </w:rPr>
        <w:t>一、资格审查</w:t>
      </w:r>
      <w:bookmarkEnd w:id="48"/>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评标委员会对响应文件中的资格证明文件进行审查。资格审查资料表如下：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rPr>
          <w:highlight w:val="none"/>
        </w:rPr>
      </w:pPr>
      <w:bookmarkStart w:id="49" w:name="_Toc23949"/>
      <w:bookmarkStart w:id="50" w:name="_Toc10474389"/>
      <w:r>
        <w:rPr>
          <w:rFonts w:hint="eastAsia"/>
          <w:highlight w:val="none"/>
        </w:rPr>
        <w:t>二、评标方法</w:t>
      </w:r>
      <w:bookmarkEnd w:id="49"/>
      <w:bookmarkEnd w:id="50"/>
    </w:p>
    <w:p>
      <w:pPr>
        <w:spacing w:line="360" w:lineRule="auto"/>
        <w:ind w:firstLine="566" w:firstLineChars="236"/>
        <w:rPr>
          <w:rFonts w:hAnsi="宋体" w:cs="宋体"/>
          <w:sz w:val="24"/>
          <w:szCs w:val="24"/>
          <w:highlight w:val="none"/>
        </w:rPr>
      </w:pPr>
    </w:p>
    <w:p>
      <w:pPr>
        <w:spacing w:line="360" w:lineRule="auto"/>
        <w:ind w:firstLine="566" w:firstLineChars="236"/>
        <w:rPr>
          <w:rFonts w:hAnsi="宋体" w:cs="宋体"/>
          <w:sz w:val="24"/>
          <w:szCs w:val="24"/>
          <w:highlight w:val="none"/>
        </w:rPr>
      </w:pPr>
      <w:r>
        <w:rPr>
          <w:rFonts w:hint="eastAsia" w:hAnsi="宋体" w:cs="宋体"/>
          <w:sz w:val="24"/>
          <w:szCs w:val="24"/>
          <w:highlight w:val="none"/>
        </w:rPr>
        <w:t>本项目采用最低评标价法进行评标。最低评标价法，是指满足竞争性比选文件全部实质性要求，价格最低的投标人为成交候选投标人的评审方法。</w:t>
      </w:r>
    </w:p>
    <w:p>
      <w:pPr>
        <w:spacing w:line="360" w:lineRule="auto"/>
        <w:ind w:firstLine="566" w:firstLineChars="236"/>
        <w:rPr>
          <w:rFonts w:hAnsi="宋体" w:cs="宋体"/>
          <w:sz w:val="24"/>
          <w:szCs w:val="24"/>
          <w:highlight w:val="none"/>
        </w:rPr>
      </w:pP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评标委员会应当对符合资格的投标人的响应文件进行符合性审查，以确定其是否满足竞争性比选文件的实质性要求。符合性审查资料表如下：</w:t>
      </w:r>
    </w:p>
    <w:tbl>
      <w:tblPr>
        <w:tblStyle w:val="1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rPr>
              <w:t>响应文件签署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rPr>
              <w:t>响应文件内容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rPr>
              <w:t>响应文件内容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满足本竞争性比选文件第二篇中所有内容无负偏离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rPr>
              <w:t>响应文件内容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rPr>
              <w:t>满足本竞争性比选文件第三篇中所有内容无负偏离</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响应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响应文件的范围或者改变响应文件的实质性内容。</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（三）比较与评价。按竞争性比选文件中规定的评标方法和标准，对资格审查和符合性审查合格的响应文件进行商务和技术评估。</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（四）投标人在二次报价时，可根据比选文件要求和采购人需求做出其他优惠等书面承诺。</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投标人二次报价时，填写《报价表》，投标人的最后报价不得高于响应文件中的初始报价，若最后报价高于初始报价的，则最后报价以初始报价为准。已提交响应文件并在比选评审时签到，但未在规定时间内进行最后报价的投标人，视为放弃最后报价，以投标人响应文件中的报价为准。投标人在二次报价时作出的所有书面承诺须由法定代表人或其授权代表签字。</w:t>
      </w:r>
    </w:p>
    <w:p>
      <w:pPr>
        <w:snapToGrid w:val="0"/>
        <w:spacing w:line="360" w:lineRule="auto"/>
        <w:ind w:firstLine="480" w:firstLineChars="200"/>
        <w:rPr>
          <w:rFonts w:hAnsi="宋体" w:cs="宋体"/>
          <w:b/>
          <w:bCs/>
          <w:sz w:val="24"/>
          <w:szCs w:val="24"/>
          <w:highlight w:val="none"/>
        </w:rPr>
      </w:pPr>
      <w:r>
        <w:rPr>
          <w:rFonts w:hint="eastAsia" w:hAnsi="宋体" w:cs="宋体"/>
          <w:sz w:val="24"/>
          <w:szCs w:val="24"/>
          <w:highlight w:val="none"/>
        </w:rPr>
        <w:t>（六）评标委员会采用最低价评标法对提交最后报价的投标人的响应文件和最后报价（含有效书面承诺）进行比较。最低价评标法，是指满足竞争性比选文件全部实质性要求，价格最低的投标人为成交候选投标人的评审方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（七）推荐中标候选人名单。</w:t>
      </w:r>
    </w:p>
    <w:p>
      <w:pPr>
        <w:ind w:firstLine="480" w:firstLineChars="200"/>
        <w:rPr>
          <w:highlight w:val="none"/>
        </w:rPr>
      </w:pPr>
      <w:bookmarkStart w:id="51" w:name="_Toc25996"/>
      <w:r>
        <w:rPr>
          <w:rFonts w:hint="eastAsia" w:hAnsi="宋体" w:cs="宋体"/>
          <w:sz w:val="24"/>
          <w:szCs w:val="24"/>
          <w:highlight w:val="none"/>
        </w:rPr>
        <w:t>采用最低评标价法的项目，评标结果按投标报价由低到高顺序排列前三的推荐为中标候选人，投标报价相同的，按服务部分优劣顺序排列；若投标报价、服务指标均相同的，按商务部分的优劣顺序排列。</w:t>
      </w:r>
      <w:bookmarkEnd w:id="51"/>
    </w:p>
    <w:p>
      <w:pPr>
        <w:rPr>
          <w:highlight w:val="none"/>
        </w:rPr>
      </w:pPr>
    </w:p>
    <w:p>
      <w:pPr>
        <w:pStyle w:val="4"/>
        <w:rPr>
          <w:rFonts w:ascii="宋体" w:hAnsi="宋体" w:cs="宋体"/>
          <w:highlight w:val="none"/>
        </w:rPr>
      </w:pPr>
      <w:bookmarkStart w:id="52" w:name="_Toc21425658"/>
      <w:bookmarkStart w:id="53" w:name="_Toc17765"/>
      <w:r>
        <w:rPr>
          <w:rFonts w:hint="eastAsia"/>
          <w:highlight w:val="none"/>
        </w:rPr>
        <w:t>三、</w:t>
      </w:r>
      <w:r>
        <w:rPr>
          <w:rFonts w:hint="eastAsia" w:ascii="宋体" w:hAnsi="宋体" w:cs="宋体"/>
          <w:highlight w:val="none"/>
        </w:rPr>
        <w:t>无效投标条款</w:t>
      </w:r>
      <w:bookmarkEnd w:id="52"/>
      <w:bookmarkEnd w:id="53"/>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投标人或其响应文件出现下列情况之一者，应为无效投标：</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（一）未按照竞争性比选文件的规定提交投标保证金的；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（二）响应文件未按竞争性比选文件要求签署、盖章的；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（三）不具备竞争性比选文件中规定的资格要求的；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（四）响应文件中初始报价超过竞争性比选文件中规定的预算金额或者最高限价的；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（五）响应文件含有采购人不能接受的附加条件的；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（六）投标人串通投标的；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（七）投标人组成联合体投标的；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（八）法律、法规和竞争性比选文件规定的其他无效情形；</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（九）投标人的法定代表人或其授权代表未参加二次报价。</w:t>
      </w:r>
    </w:p>
    <w:p>
      <w:pPr>
        <w:pStyle w:val="4"/>
        <w:rPr>
          <w:rFonts w:ascii="宋体" w:hAnsi="宋体" w:cs="宋体"/>
          <w:highlight w:val="none"/>
        </w:rPr>
      </w:pPr>
      <w:bookmarkStart w:id="54" w:name="_Toc21425659"/>
    </w:p>
    <w:p>
      <w:pPr>
        <w:pStyle w:val="4"/>
        <w:rPr>
          <w:rFonts w:ascii="宋体" w:hAnsi="宋体" w:cs="宋体"/>
          <w:highlight w:val="none"/>
        </w:rPr>
      </w:pPr>
      <w:bookmarkStart w:id="55" w:name="_Toc3621"/>
      <w:r>
        <w:rPr>
          <w:rFonts w:hint="eastAsia" w:ascii="宋体" w:hAnsi="宋体" w:cs="宋体"/>
          <w:highlight w:val="none"/>
        </w:rPr>
        <w:t>四、废标条款</w:t>
      </w:r>
      <w:bookmarkEnd w:id="54"/>
      <w:bookmarkEnd w:id="55"/>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评标委员会评审时出现以下情况之一的，应予废标：</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（一）符合专业条件的投标人或者对竞争性比选文件作实质响应的投标人不足三家的；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（二）投标人的报价均超过了采购预算，采购人不能支付的；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（三）出现影响采购公正的违法、违规行为的；</w:t>
      </w:r>
    </w:p>
    <w:p>
      <w:pPr>
        <w:snapToGrid w:val="0"/>
        <w:spacing w:line="400" w:lineRule="exact"/>
        <w:ind w:firstLine="480" w:firstLineChars="200"/>
        <w:rPr>
          <w:rFonts w:hAnsi="宋体" w:cs="宋体"/>
          <w:sz w:val="24"/>
          <w:szCs w:val="24"/>
          <w:highlight w:val="none"/>
        </w:rPr>
      </w:pPr>
      <w:r>
        <w:rPr>
          <w:rFonts w:hint="eastAsia" w:hAnsi="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hAnsi="宋体" w:cs="宋体"/>
          <w:sz w:val="24"/>
          <w:szCs w:val="24"/>
          <w:highlight w:val="none"/>
        </w:rPr>
        <w:t>废标后，除采购任务取消情形外，应当重新组织采购。</w:t>
      </w:r>
    </w:p>
    <w:p>
      <w:pPr>
        <w:rPr>
          <w:rFonts w:hAnsi="宋体"/>
          <w:highlight w:val="none"/>
        </w:rPr>
      </w:pPr>
      <w:bookmarkStart w:id="56" w:name="_Toc21425660"/>
      <w:r>
        <w:rPr>
          <w:rFonts w:hint="eastAsia" w:hAnsi="宋体"/>
          <w:highlight w:val="none"/>
        </w:rPr>
        <w:br w:type="page"/>
      </w:r>
    </w:p>
    <w:p>
      <w:pPr>
        <w:pStyle w:val="3"/>
        <w:tabs>
          <w:tab w:val="left" w:pos="3360"/>
        </w:tabs>
        <w:spacing w:line="360" w:lineRule="auto"/>
        <w:rPr>
          <w:rFonts w:ascii="宋体" w:hAnsi="宋体" w:eastAsia="宋体"/>
          <w:b w:val="0"/>
          <w:highlight w:val="none"/>
        </w:rPr>
      </w:pPr>
      <w:bookmarkStart w:id="57" w:name="_Toc30592"/>
      <w:r>
        <w:rPr>
          <w:rFonts w:hint="eastAsia" w:ascii="宋体" w:hAnsi="宋体" w:eastAsia="宋体"/>
          <w:b w:val="0"/>
          <w:highlight w:val="none"/>
        </w:rPr>
        <w:t>第五篇  投标人须知</w:t>
      </w:r>
      <w:bookmarkEnd w:id="56"/>
      <w:bookmarkEnd w:id="57"/>
    </w:p>
    <w:p>
      <w:pPr>
        <w:pStyle w:val="4"/>
        <w:rPr>
          <w:rFonts w:ascii="宋体" w:hAnsi="宋体" w:cs="宋体"/>
          <w:highlight w:val="none"/>
        </w:rPr>
      </w:pPr>
      <w:bookmarkStart w:id="58" w:name="_Toc21425661"/>
      <w:bookmarkStart w:id="59" w:name="_Toc25416"/>
      <w:r>
        <w:rPr>
          <w:rFonts w:hint="eastAsia"/>
          <w:highlight w:val="none"/>
        </w:rPr>
        <w:t>一、</w:t>
      </w:r>
      <w:r>
        <w:rPr>
          <w:rFonts w:hint="eastAsia" w:ascii="宋体" w:hAnsi="宋体" w:cs="宋体"/>
          <w:highlight w:val="none"/>
        </w:rPr>
        <w:t>投标人</w:t>
      </w:r>
      <w:bookmarkEnd w:id="58"/>
      <w:bookmarkEnd w:id="59"/>
    </w:p>
    <w:p>
      <w:pPr>
        <w:snapToGrid w:val="0"/>
        <w:spacing w:line="400" w:lineRule="exact"/>
        <w:ind w:firstLine="480" w:firstLineChars="200"/>
        <w:rPr>
          <w:rFonts w:hAnsi="宋体" w:cs="宋体"/>
          <w:sz w:val="24"/>
          <w:highlight w:val="none"/>
        </w:rPr>
      </w:pPr>
      <w:r>
        <w:rPr>
          <w:rFonts w:hint="eastAsia" w:hAnsi="宋体" w:cs="宋体"/>
          <w:sz w:val="24"/>
          <w:highlight w:val="none"/>
        </w:rPr>
        <w:t>（一）投标人</w:t>
      </w:r>
    </w:p>
    <w:p>
      <w:pPr>
        <w:snapToGrid w:val="0"/>
        <w:spacing w:line="400" w:lineRule="exact"/>
        <w:ind w:firstLine="480" w:firstLineChars="200"/>
        <w:rPr>
          <w:rFonts w:hAnsi="宋体" w:cs="宋体"/>
          <w:sz w:val="24"/>
          <w:highlight w:val="none"/>
        </w:rPr>
      </w:pPr>
      <w:r>
        <w:rPr>
          <w:rFonts w:hint="eastAsia" w:hAnsi="宋体" w:cs="宋体"/>
          <w:sz w:val="24"/>
          <w:highlight w:val="none"/>
        </w:rPr>
        <w:t>投标人是指响应招标、参加投标竞争的法人、其他组织或者自然人。</w:t>
      </w:r>
    </w:p>
    <w:p>
      <w:pPr>
        <w:snapToGrid w:val="0"/>
        <w:spacing w:line="400" w:lineRule="exact"/>
        <w:ind w:firstLine="480" w:firstLineChars="200"/>
        <w:rPr>
          <w:rFonts w:hAnsi="宋体" w:cs="宋体"/>
          <w:sz w:val="24"/>
          <w:highlight w:val="none"/>
        </w:rPr>
      </w:pPr>
      <w:r>
        <w:rPr>
          <w:rFonts w:hint="eastAsia" w:hAnsi="宋体" w:cs="宋体"/>
          <w:sz w:val="24"/>
          <w:highlight w:val="none"/>
        </w:rPr>
        <w:t>（二）合格投标人条件</w:t>
      </w:r>
    </w:p>
    <w:p>
      <w:pPr>
        <w:snapToGrid w:val="0"/>
        <w:spacing w:line="400" w:lineRule="exact"/>
        <w:ind w:firstLine="480" w:firstLineChars="200"/>
        <w:rPr>
          <w:rFonts w:hAnsi="宋体" w:cs="宋体"/>
          <w:sz w:val="24"/>
          <w:highlight w:val="none"/>
        </w:rPr>
      </w:pPr>
      <w:r>
        <w:rPr>
          <w:rFonts w:hint="eastAsia" w:hAnsi="宋体" w:cs="宋体"/>
          <w:sz w:val="24"/>
          <w:highlight w:val="none"/>
        </w:rPr>
        <w:t>合格投标人应完全符合竞争性比选文件第一篇中规定的投标人资格条件，并对竞争性比选文件作出实质性响应。</w:t>
      </w:r>
    </w:p>
    <w:p>
      <w:pPr>
        <w:snapToGrid w:val="0"/>
        <w:spacing w:line="400" w:lineRule="exact"/>
        <w:ind w:firstLine="480" w:firstLineChars="200"/>
        <w:rPr>
          <w:rFonts w:hAnsi="宋体" w:cs="宋体"/>
          <w:sz w:val="24"/>
          <w:szCs w:val="28"/>
          <w:highlight w:val="none"/>
        </w:rPr>
      </w:pPr>
      <w:r>
        <w:rPr>
          <w:rFonts w:hint="eastAsia" w:hAnsi="宋体" w:cs="宋体"/>
          <w:sz w:val="24"/>
          <w:szCs w:val="28"/>
          <w:highlight w:val="none"/>
        </w:rPr>
        <w:t>（三）投标人的风险</w:t>
      </w:r>
    </w:p>
    <w:p>
      <w:pPr>
        <w:snapToGrid w:val="0"/>
        <w:spacing w:line="400" w:lineRule="exact"/>
        <w:ind w:firstLine="480" w:firstLineChars="200"/>
        <w:rPr>
          <w:rFonts w:hAnsi="宋体" w:cs="宋体"/>
          <w:sz w:val="24"/>
          <w:highlight w:val="none"/>
        </w:rPr>
      </w:pPr>
      <w:r>
        <w:rPr>
          <w:rFonts w:hint="eastAsia" w:hAnsi="宋体" w:cs="宋体"/>
          <w:sz w:val="24"/>
          <w:highlight w:val="none"/>
        </w:rPr>
        <w:t>投标人没有按照竞争性比选文件要求提供全部资料，或者投标人没有对竞争性比选文件在各方面作出实质性响应，可能导致投标被拒绝或评定为无效投标。</w:t>
      </w:r>
    </w:p>
    <w:p>
      <w:pPr>
        <w:snapToGrid w:val="0"/>
        <w:spacing w:line="400" w:lineRule="exact"/>
        <w:ind w:firstLine="480" w:firstLineChars="200"/>
        <w:rPr>
          <w:rFonts w:hAnsi="宋体" w:cs="宋体"/>
          <w:sz w:val="24"/>
          <w:highlight w:val="none"/>
        </w:rPr>
      </w:pPr>
      <w:r>
        <w:rPr>
          <w:rFonts w:hint="eastAsia" w:hAnsi="宋体" w:cs="宋体"/>
          <w:sz w:val="24"/>
          <w:highlight w:val="none"/>
        </w:rPr>
        <w:t>（四）法律责任</w:t>
      </w:r>
    </w:p>
    <w:p>
      <w:pPr>
        <w:snapToGrid w:val="0"/>
        <w:spacing w:line="400" w:lineRule="exact"/>
        <w:ind w:firstLine="480" w:firstLineChars="200"/>
        <w:rPr>
          <w:rFonts w:hAnsi="宋体" w:cs="宋体"/>
          <w:sz w:val="24"/>
          <w:highlight w:val="none"/>
        </w:rPr>
      </w:pPr>
      <w:r>
        <w:rPr>
          <w:rFonts w:hint="eastAsia" w:hAnsi="宋体" w:cs="宋体"/>
          <w:sz w:val="24"/>
          <w:highlight w:val="none"/>
        </w:rPr>
        <w:t>投标人违反《中华人民共和国政府采购法》、《中华人民共和国政府采购实施条例》等相关规定，将按规定追究投标人法律责任。</w:t>
      </w:r>
    </w:p>
    <w:p>
      <w:pPr>
        <w:pStyle w:val="4"/>
        <w:rPr>
          <w:rFonts w:ascii="宋体" w:hAnsi="宋体" w:cs="宋体"/>
          <w:highlight w:val="none"/>
        </w:rPr>
      </w:pPr>
      <w:bookmarkStart w:id="60" w:name="_Toc21425662"/>
      <w:bookmarkStart w:id="61" w:name="_Toc4182"/>
      <w:r>
        <w:rPr>
          <w:rFonts w:hint="eastAsia" w:ascii="宋体" w:hAnsi="宋体" w:cs="宋体"/>
          <w:highlight w:val="none"/>
        </w:rPr>
        <w:t>二、</w:t>
      </w:r>
      <w:bookmarkEnd w:id="60"/>
      <w:r>
        <w:rPr>
          <w:rFonts w:hint="eastAsia" w:ascii="宋体" w:hAnsi="宋体" w:cs="宋体"/>
          <w:highlight w:val="none"/>
        </w:rPr>
        <w:t>竞争性比选文件</w:t>
      </w:r>
      <w:bookmarkEnd w:id="61"/>
    </w:p>
    <w:p>
      <w:pPr>
        <w:snapToGrid w:val="0"/>
        <w:spacing w:line="400" w:lineRule="exact"/>
        <w:ind w:firstLine="480" w:firstLineChars="200"/>
        <w:rPr>
          <w:rFonts w:hAnsi="宋体" w:cs="宋体"/>
          <w:sz w:val="24"/>
          <w:highlight w:val="none"/>
        </w:rPr>
      </w:pPr>
      <w:r>
        <w:rPr>
          <w:rFonts w:hint="eastAsia" w:hAnsi="宋体" w:cs="宋体"/>
          <w:sz w:val="24"/>
          <w:highlight w:val="none"/>
        </w:rPr>
        <w:t>竞争性比选文件是投标人编制响应文件的依据，是评标委员会评判依据和标准。竞争性比选文件也是采购人与中标人签订合同的基础。</w:t>
      </w:r>
    </w:p>
    <w:p>
      <w:pPr>
        <w:snapToGrid w:val="0"/>
        <w:spacing w:line="400" w:lineRule="exact"/>
        <w:ind w:firstLine="480" w:firstLineChars="200"/>
        <w:rPr>
          <w:rFonts w:hAnsi="宋体" w:cs="宋体"/>
          <w:sz w:val="24"/>
          <w:highlight w:val="none"/>
        </w:rPr>
      </w:pPr>
      <w:r>
        <w:rPr>
          <w:rFonts w:hint="eastAsia" w:hAnsi="宋体" w:cs="宋体"/>
          <w:sz w:val="24"/>
          <w:highlight w:val="none"/>
        </w:rPr>
        <w:t>（一）竞争性比选文件由投标邀请书；项目技术规格、数量及质量要求；商务条款；投标人须知；评标方法、评标标准、无效投标条款和废标条款；响应文件格式等部分组成。</w:t>
      </w:r>
    </w:p>
    <w:p>
      <w:pPr>
        <w:snapToGrid w:val="0"/>
        <w:spacing w:line="400" w:lineRule="exact"/>
        <w:ind w:firstLine="480"/>
        <w:rPr>
          <w:rFonts w:hAnsi="宋体" w:cs="宋体"/>
          <w:sz w:val="24"/>
          <w:highlight w:val="none"/>
        </w:rPr>
      </w:pPr>
      <w:r>
        <w:rPr>
          <w:rFonts w:hint="eastAsia" w:hAnsi="宋体" w:cs="宋体"/>
          <w:sz w:val="24"/>
          <w:szCs w:val="28"/>
          <w:highlight w:val="none"/>
        </w:rPr>
        <w:t>（二）</w:t>
      </w:r>
      <w:r>
        <w:rPr>
          <w:rFonts w:hint="eastAsia" w:hAnsi="宋体" w:cs="宋体"/>
          <w:sz w:val="24"/>
          <w:highlight w:val="none"/>
        </w:rPr>
        <w:t>采购人对竞争性比选文件所作的一切有效的书面通知、修改及补充，都是竞争性比选文件不可分割的部分。</w:t>
      </w:r>
    </w:p>
    <w:p>
      <w:pPr>
        <w:snapToGrid w:val="0"/>
        <w:spacing w:line="400" w:lineRule="exact"/>
        <w:ind w:firstLine="480"/>
        <w:rPr>
          <w:rFonts w:hAnsi="宋体" w:cs="宋体"/>
          <w:sz w:val="24"/>
          <w:highlight w:val="none"/>
        </w:rPr>
      </w:pPr>
      <w:r>
        <w:rPr>
          <w:rFonts w:hint="eastAsia" w:hAnsi="宋体" w:cs="宋体"/>
          <w:sz w:val="24"/>
          <w:highlight w:val="none"/>
        </w:rPr>
        <w:t>（三）</w:t>
      </w:r>
      <w:r>
        <w:rPr>
          <w:rFonts w:hint="eastAsia" w:hAnsi="宋体" w:cs="宋体"/>
          <w:sz w:val="24"/>
          <w:szCs w:val="24"/>
          <w:highlight w:val="none"/>
        </w:rPr>
        <w:t>本项目的竞争性比选文件、补遗文件（如果有）一律在重庆医科大学附属口腔医院官网、行采家、中国采购招标网上发布，请各投标人注意下载领取；无论投标人下载或领取与否，均视同投标人已知晓本项目竞争性比选文件、补遗文件的内容。</w:t>
      </w:r>
    </w:p>
    <w:p>
      <w:pPr>
        <w:snapToGrid w:val="0"/>
        <w:spacing w:line="400" w:lineRule="exact"/>
        <w:ind w:firstLine="480" w:firstLineChars="200"/>
        <w:rPr>
          <w:rFonts w:hAnsi="宋体" w:cs="宋体"/>
          <w:sz w:val="24"/>
          <w:highlight w:val="none"/>
        </w:rPr>
      </w:pPr>
      <w:r>
        <w:rPr>
          <w:rFonts w:hint="eastAsia" w:hAnsi="宋体" w:cs="宋体"/>
          <w:sz w:val="24"/>
          <w:highlight w:val="none"/>
        </w:rPr>
        <w:t>（四）采购人对已发出的竞争性比选文件需要进行澄清或修改的，应以书面形式或公告形式通知所有竞争性比选文件收受人。该澄清或者修改的内容为竞争性比选文件的组成部分。</w:t>
      </w:r>
    </w:p>
    <w:p>
      <w:pPr>
        <w:pStyle w:val="4"/>
        <w:rPr>
          <w:rFonts w:ascii="宋体" w:hAnsi="宋体" w:cs="宋体"/>
          <w:highlight w:val="none"/>
        </w:rPr>
      </w:pPr>
      <w:bookmarkStart w:id="62" w:name="_Toc21425663"/>
      <w:bookmarkStart w:id="63" w:name="_Toc16430"/>
      <w:r>
        <w:rPr>
          <w:rFonts w:hint="eastAsia" w:ascii="宋体" w:hAnsi="宋体" w:cs="宋体"/>
          <w:highlight w:val="none"/>
        </w:rPr>
        <w:t>三、</w:t>
      </w:r>
      <w:bookmarkEnd w:id="62"/>
      <w:r>
        <w:rPr>
          <w:rFonts w:hint="eastAsia" w:ascii="宋体" w:hAnsi="宋体" w:cs="宋体"/>
          <w:highlight w:val="none"/>
        </w:rPr>
        <w:t>响应文件</w:t>
      </w:r>
      <w:bookmarkEnd w:id="63"/>
    </w:p>
    <w:p>
      <w:pPr>
        <w:spacing w:line="400" w:lineRule="exact"/>
        <w:ind w:firstLine="480" w:firstLineChars="200"/>
        <w:rPr>
          <w:rFonts w:hAnsi="宋体" w:cs="宋体"/>
          <w:sz w:val="24"/>
          <w:highlight w:val="none"/>
        </w:rPr>
      </w:pPr>
      <w:r>
        <w:rPr>
          <w:rFonts w:hint="eastAsia" w:hAnsi="宋体" w:cs="宋体"/>
          <w:sz w:val="24"/>
          <w:highlight w:val="none"/>
        </w:rPr>
        <w:t>投标人应当按照竞争性比选文件的要求编制响应文件，并对竞争性比选文件提出的要求和条件作出实质性响应，</w:t>
      </w:r>
      <w:r>
        <w:rPr>
          <w:rFonts w:hint="eastAsia" w:hAnsi="宋体" w:cs="宋体"/>
          <w:highlight w:val="none"/>
        </w:rPr>
        <w:t>响应文件原则上采用软面胶装（不得采用穿孔式、文件夹式活页装订），同时应编制完整的封面、页码、目录。</w:t>
      </w:r>
    </w:p>
    <w:p>
      <w:pPr>
        <w:spacing w:line="400" w:lineRule="exact"/>
        <w:ind w:firstLine="480" w:firstLineChars="200"/>
        <w:rPr>
          <w:rFonts w:hAnsi="宋体" w:cs="宋体"/>
          <w:sz w:val="24"/>
          <w:highlight w:val="none"/>
        </w:rPr>
      </w:pPr>
      <w:r>
        <w:rPr>
          <w:rFonts w:hint="eastAsia" w:hAnsi="宋体" w:cs="宋体"/>
          <w:sz w:val="24"/>
          <w:highlight w:val="none"/>
        </w:rPr>
        <w:t>（一）响应文件组成</w:t>
      </w:r>
    </w:p>
    <w:p>
      <w:pPr>
        <w:spacing w:line="400" w:lineRule="exact"/>
        <w:ind w:firstLine="480" w:firstLineChars="200"/>
        <w:rPr>
          <w:rFonts w:hAnsi="宋体" w:cs="宋体"/>
          <w:sz w:val="24"/>
          <w:highlight w:val="none"/>
        </w:rPr>
      </w:pPr>
      <w:r>
        <w:rPr>
          <w:rFonts w:hint="eastAsia" w:hAnsi="宋体" w:cs="宋体"/>
          <w:sz w:val="24"/>
          <w:highlight w:val="none"/>
        </w:rPr>
        <w:t>响应文件由第六篇“响应文件格式”规定的部分和投标人所作的一切有效补充、修改和承诺等文件组成，投标人应按照第六篇“响应文件格式”规定的目录顺序组织编写和装订，否则有可能影响评委对响应文件的评审。</w:t>
      </w:r>
    </w:p>
    <w:p>
      <w:pPr>
        <w:spacing w:line="400" w:lineRule="exact"/>
        <w:ind w:firstLine="480" w:firstLineChars="200"/>
        <w:rPr>
          <w:rFonts w:hAnsi="宋体" w:cs="宋体"/>
          <w:sz w:val="24"/>
          <w:highlight w:val="none"/>
        </w:rPr>
      </w:pPr>
      <w:r>
        <w:rPr>
          <w:rFonts w:hint="eastAsia" w:hAnsi="宋体" w:cs="宋体"/>
          <w:sz w:val="24"/>
          <w:highlight w:val="none"/>
        </w:rPr>
        <w:t>（二）投标有效期</w:t>
      </w:r>
    </w:p>
    <w:p>
      <w:pPr>
        <w:spacing w:line="400" w:lineRule="exact"/>
        <w:ind w:firstLine="480" w:firstLineChars="200"/>
        <w:rPr>
          <w:rFonts w:hAnsi="宋体" w:cs="宋体"/>
          <w:sz w:val="24"/>
          <w:highlight w:val="none"/>
        </w:rPr>
      </w:pPr>
      <w:r>
        <w:rPr>
          <w:rFonts w:hint="eastAsia" w:hAnsi="宋体" w:cs="宋体"/>
          <w:sz w:val="24"/>
          <w:highlight w:val="none"/>
        </w:rPr>
        <w:t>投标有效期为投标截止日期起九十天内。</w:t>
      </w:r>
    </w:p>
    <w:p>
      <w:pPr>
        <w:snapToGrid w:val="0"/>
        <w:spacing w:line="400" w:lineRule="exact"/>
        <w:ind w:firstLine="470" w:firstLineChars="196"/>
        <w:jc w:val="left"/>
        <w:rPr>
          <w:rFonts w:hAnsi="宋体" w:cs="宋体"/>
          <w:bCs/>
          <w:sz w:val="24"/>
          <w:highlight w:val="none"/>
        </w:rPr>
      </w:pPr>
      <w:r>
        <w:rPr>
          <w:rFonts w:hint="eastAsia" w:hAnsi="宋体" w:cs="宋体"/>
          <w:bCs/>
          <w:sz w:val="24"/>
          <w:highlight w:val="none"/>
        </w:rPr>
        <w:t>（四）响应文件的份数和签署</w:t>
      </w:r>
    </w:p>
    <w:p>
      <w:pPr>
        <w:tabs>
          <w:tab w:val="left" w:pos="0"/>
        </w:tabs>
        <w:spacing w:line="400" w:lineRule="exact"/>
        <w:ind w:firstLine="480" w:firstLineChars="200"/>
        <w:rPr>
          <w:rFonts w:hAnsi="宋体" w:cs="宋体"/>
          <w:sz w:val="24"/>
          <w:highlight w:val="none"/>
        </w:rPr>
      </w:pPr>
      <w:r>
        <w:rPr>
          <w:rFonts w:hint="eastAsia" w:hAnsi="宋体" w:cs="宋体"/>
          <w:sz w:val="24"/>
          <w:highlight w:val="none"/>
        </w:rPr>
        <w:t>1.响应文件一式二份，其中正本一份，副本一份。每套纸质响应文件须在封面清楚地标明“正本”、“副本”，副本应为正本的完整复印件，副本与正本不一致时以正本为准。</w:t>
      </w:r>
    </w:p>
    <w:p>
      <w:pPr>
        <w:tabs>
          <w:tab w:val="left" w:pos="0"/>
        </w:tabs>
        <w:spacing w:line="400" w:lineRule="exact"/>
        <w:ind w:firstLine="480" w:firstLineChars="200"/>
        <w:rPr>
          <w:rFonts w:hAnsi="宋体" w:cs="宋体"/>
          <w:sz w:val="24"/>
          <w:highlight w:val="none"/>
        </w:rPr>
      </w:pPr>
      <w:r>
        <w:rPr>
          <w:rFonts w:hint="eastAsia" w:hAnsi="宋体" w:cs="宋体"/>
          <w:sz w:val="24"/>
          <w:highlight w:val="none"/>
        </w:rPr>
        <w:t>2.在响应文件正本中，竞争性比选文件第六篇响应文件格式中规定签字、盖章的地方必须按其规定签字、盖章。</w:t>
      </w:r>
    </w:p>
    <w:p>
      <w:pPr>
        <w:tabs>
          <w:tab w:val="left" w:pos="0"/>
        </w:tabs>
        <w:spacing w:line="400" w:lineRule="exact"/>
        <w:ind w:firstLine="480" w:firstLineChars="200"/>
        <w:rPr>
          <w:rFonts w:hAnsi="宋体" w:cs="宋体"/>
          <w:sz w:val="24"/>
          <w:highlight w:val="none"/>
        </w:rPr>
      </w:pPr>
      <w:r>
        <w:rPr>
          <w:rFonts w:hint="eastAsia" w:hAnsi="宋体" w:cs="宋体"/>
          <w:sz w:val="24"/>
          <w:highlight w:val="none"/>
        </w:rPr>
        <w:t>3.若投标人对响应文件的错处作必要修改，则应在修改处加盖投标人公章或由</w:t>
      </w:r>
      <w:r>
        <w:rPr>
          <w:rFonts w:hint="eastAsia" w:hAnsi="宋体" w:cs="宋体"/>
          <w:sz w:val="24"/>
          <w:szCs w:val="28"/>
          <w:highlight w:val="none"/>
        </w:rPr>
        <w:t>法定代表人</w:t>
      </w:r>
      <w:r>
        <w:rPr>
          <w:rFonts w:hint="eastAsia" w:hAnsi="宋体" w:cs="宋体"/>
          <w:sz w:val="24"/>
          <w:highlight w:val="none"/>
        </w:rPr>
        <w:t>或</w:t>
      </w:r>
      <w:r>
        <w:rPr>
          <w:rFonts w:hint="eastAsia" w:hAnsi="宋体" w:cs="宋体"/>
          <w:sz w:val="24"/>
          <w:szCs w:val="28"/>
          <w:highlight w:val="none"/>
        </w:rPr>
        <w:t>法定代表人</w:t>
      </w:r>
      <w:r>
        <w:rPr>
          <w:rFonts w:hint="eastAsia" w:hAnsi="宋体" w:cs="宋体"/>
          <w:sz w:val="24"/>
          <w:highlight w:val="none"/>
        </w:rPr>
        <w:t>授权代表签字确认。</w:t>
      </w:r>
    </w:p>
    <w:p>
      <w:pPr>
        <w:snapToGrid w:val="0"/>
        <w:spacing w:line="400" w:lineRule="exact"/>
        <w:ind w:firstLine="470" w:firstLineChars="196"/>
        <w:jc w:val="left"/>
        <w:rPr>
          <w:rFonts w:hAnsi="宋体" w:cs="宋体"/>
          <w:bCs/>
          <w:sz w:val="24"/>
          <w:highlight w:val="none"/>
        </w:rPr>
      </w:pPr>
      <w:r>
        <w:rPr>
          <w:rFonts w:hint="eastAsia" w:hAnsi="宋体" w:cs="宋体"/>
          <w:sz w:val="24"/>
          <w:highlight w:val="none"/>
        </w:rPr>
        <w:t>4.电报、电话、传真形式的响应文件概不接受。</w:t>
      </w:r>
    </w:p>
    <w:p>
      <w:pPr>
        <w:snapToGrid w:val="0"/>
        <w:spacing w:line="400" w:lineRule="exact"/>
        <w:ind w:firstLine="470" w:firstLineChars="196"/>
        <w:jc w:val="left"/>
        <w:rPr>
          <w:rFonts w:hAnsi="宋体" w:cs="宋体"/>
          <w:bCs/>
          <w:sz w:val="24"/>
          <w:highlight w:val="none"/>
        </w:rPr>
      </w:pPr>
      <w:r>
        <w:rPr>
          <w:rFonts w:hint="eastAsia" w:hAnsi="宋体" w:cs="宋体"/>
          <w:bCs/>
          <w:sz w:val="24"/>
          <w:highlight w:val="none"/>
        </w:rPr>
        <w:t>（五）投标报价</w:t>
      </w:r>
    </w:p>
    <w:p>
      <w:pPr>
        <w:snapToGrid w:val="0"/>
        <w:spacing w:line="400" w:lineRule="exact"/>
        <w:ind w:firstLine="470" w:firstLineChars="196"/>
        <w:jc w:val="left"/>
        <w:rPr>
          <w:rFonts w:hAnsi="宋体" w:cs="宋体"/>
          <w:sz w:val="24"/>
          <w:highlight w:val="none"/>
        </w:rPr>
      </w:pPr>
      <w:r>
        <w:rPr>
          <w:rFonts w:hint="eastAsia" w:hAnsi="宋体" w:cs="宋体"/>
          <w:bCs/>
          <w:sz w:val="24"/>
          <w:highlight w:val="none"/>
        </w:rPr>
        <w:t>1.投标人应严格按照“响应文件格式”中“采购项目一览表”和“分项报价明细表”</w:t>
      </w:r>
      <w:r>
        <w:rPr>
          <w:rFonts w:hint="eastAsia" w:hAnsi="宋体" w:cs="宋体"/>
          <w:sz w:val="24"/>
          <w:highlight w:val="none"/>
        </w:rPr>
        <w:t>的格式填写报价。</w:t>
      </w:r>
    </w:p>
    <w:p>
      <w:pPr>
        <w:snapToGrid w:val="0"/>
        <w:spacing w:line="400" w:lineRule="exact"/>
        <w:ind w:left="3" w:leftChars="1" w:firstLine="480" w:firstLineChars="200"/>
        <w:rPr>
          <w:rFonts w:hAnsi="宋体" w:cs="宋体"/>
          <w:sz w:val="24"/>
          <w:highlight w:val="none"/>
        </w:rPr>
      </w:pPr>
      <w:r>
        <w:rPr>
          <w:rFonts w:hint="eastAsia" w:hAnsi="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Ansi="宋体" w:cs="宋体"/>
          <w:sz w:val="24"/>
          <w:highlight w:val="none"/>
        </w:rPr>
      </w:pPr>
      <w:r>
        <w:rPr>
          <w:rFonts w:hint="eastAsia" w:hAnsi="宋体" w:cs="宋体"/>
          <w:sz w:val="24"/>
          <w:highlight w:val="none"/>
        </w:rPr>
        <w:t>3.本项目只接受一个投标报价，有选择的或有条件的报价将不予接受。</w:t>
      </w:r>
    </w:p>
    <w:p>
      <w:pPr>
        <w:pStyle w:val="5"/>
        <w:spacing w:line="400" w:lineRule="exact"/>
        <w:ind w:firstLine="480" w:firstLineChars="200"/>
        <w:rPr>
          <w:rFonts w:hAnsi="宋体" w:cs="宋体"/>
          <w:sz w:val="24"/>
          <w:highlight w:val="none"/>
        </w:rPr>
      </w:pPr>
      <w:r>
        <w:rPr>
          <w:rFonts w:hint="eastAsia" w:hAnsi="宋体" w:cs="宋体"/>
          <w:sz w:val="24"/>
          <w:highlight w:val="none"/>
        </w:rPr>
        <w:t>（六）修正错误</w:t>
      </w:r>
    </w:p>
    <w:p>
      <w:pPr>
        <w:pStyle w:val="5"/>
        <w:spacing w:line="400" w:lineRule="exact"/>
        <w:ind w:firstLine="480" w:firstLineChars="200"/>
        <w:rPr>
          <w:rFonts w:hAnsi="宋体" w:cs="宋体"/>
          <w:sz w:val="24"/>
          <w:highlight w:val="none"/>
        </w:rPr>
      </w:pPr>
      <w:r>
        <w:rPr>
          <w:rFonts w:hint="eastAsia" w:hAnsi="宋体" w:cs="宋体"/>
          <w:sz w:val="24"/>
          <w:highlight w:val="none"/>
        </w:rPr>
        <w:t>若响应文件出现计算或表达上的错误，修正错误的原则如下：</w:t>
      </w:r>
    </w:p>
    <w:p>
      <w:pPr>
        <w:pStyle w:val="5"/>
        <w:spacing w:line="400" w:lineRule="exact"/>
        <w:ind w:firstLine="480" w:firstLineChars="200"/>
        <w:rPr>
          <w:rFonts w:hAnsi="宋体" w:cs="宋体"/>
          <w:sz w:val="24"/>
          <w:highlight w:val="none"/>
        </w:rPr>
      </w:pPr>
      <w:r>
        <w:rPr>
          <w:rFonts w:hint="eastAsia" w:hAnsi="宋体" w:cs="宋体"/>
          <w:sz w:val="24"/>
          <w:highlight w:val="none"/>
        </w:rPr>
        <w:t>1.响应文件中采购项目一览表（报价表）内容与响应文件中相应内容不一致的，以采购项目一览表（报价表）为准；</w:t>
      </w:r>
    </w:p>
    <w:p>
      <w:pPr>
        <w:pStyle w:val="5"/>
        <w:spacing w:line="400" w:lineRule="exact"/>
        <w:ind w:firstLine="480" w:firstLineChars="200"/>
        <w:rPr>
          <w:rFonts w:hAnsi="宋体" w:cs="宋体"/>
          <w:sz w:val="24"/>
          <w:highlight w:val="none"/>
        </w:rPr>
      </w:pPr>
      <w:r>
        <w:rPr>
          <w:rFonts w:hint="eastAsia" w:hAnsi="宋体" w:cs="宋体"/>
          <w:sz w:val="24"/>
          <w:highlight w:val="none"/>
        </w:rPr>
        <w:t>2.大写金额和小写金额不一致的，以大写金额为准；</w:t>
      </w:r>
    </w:p>
    <w:p>
      <w:pPr>
        <w:pStyle w:val="5"/>
        <w:spacing w:line="400" w:lineRule="exact"/>
        <w:ind w:firstLine="480" w:firstLineChars="200"/>
        <w:rPr>
          <w:rFonts w:hAnsi="宋体" w:cs="宋体"/>
          <w:sz w:val="24"/>
          <w:highlight w:val="none"/>
        </w:rPr>
      </w:pPr>
      <w:r>
        <w:rPr>
          <w:rFonts w:hint="eastAsia" w:hAnsi="宋体" w:cs="宋体"/>
          <w:sz w:val="24"/>
          <w:highlight w:val="none"/>
        </w:rPr>
        <w:t>3.单价金额小数点或者百分比有明显错位的，以采购项目一览表的总价为准，并修改单价；</w:t>
      </w:r>
    </w:p>
    <w:p>
      <w:pPr>
        <w:pStyle w:val="5"/>
        <w:spacing w:line="400" w:lineRule="exact"/>
        <w:ind w:firstLine="480" w:firstLineChars="200"/>
        <w:rPr>
          <w:rFonts w:hAnsi="宋体" w:cs="宋体"/>
          <w:sz w:val="24"/>
          <w:highlight w:val="none"/>
        </w:rPr>
      </w:pPr>
      <w:r>
        <w:rPr>
          <w:rFonts w:hint="eastAsia" w:hAnsi="宋体" w:cs="宋体"/>
          <w:sz w:val="24"/>
          <w:highlight w:val="none"/>
        </w:rPr>
        <w:t>4.总价金额与按单价汇总金额不一致的，以两者中较小的为准。</w:t>
      </w:r>
    </w:p>
    <w:p>
      <w:pPr>
        <w:pStyle w:val="5"/>
        <w:spacing w:line="400" w:lineRule="exact"/>
        <w:ind w:firstLine="480" w:firstLineChars="200"/>
        <w:rPr>
          <w:rFonts w:hAnsi="宋体" w:cs="宋体"/>
          <w:sz w:val="24"/>
          <w:highlight w:val="none"/>
        </w:rPr>
      </w:pPr>
      <w:r>
        <w:rPr>
          <w:rFonts w:hint="eastAsia" w:hAnsi="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5"/>
        <w:spacing w:line="400" w:lineRule="exact"/>
        <w:ind w:firstLine="480" w:firstLineChars="200"/>
        <w:rPr>
          <w:rFonts w:hAnsi="宋体" w:cs="宋体"/>
          <w:sz w:val="24"/>
          <w:highlight w:val="none"/>
        </w:rPr>
      </w:pPr>
      <w:r>
        <w:rPr>
          <w:rFonts w:hint="eastAsia" w:hAnsi="宋体" w:cs="宋体"/>
          <w:sz w:val="24"/>
          <w:highlight w:val="none"/>
        </w:rPr>
        <w:t>（七）响应文件的递交</w:t>
      </w:r>
    </w:p>
    <w:p>
      <w:pPr>
        <w:pStyle w:val="5"/>
        <w:spacing w:line="400" w:lineRule="exact"/>
        <w:ind w:firstLine="480" w:firstLineChars="200"/>
        <w:rPr>
          <w:rFonts w:hAnsi="宋体" w:cs="宋体"/>
          <w:sz w:val="24"/>
          <w:highlight w:val="none"/>
        </w:rPr>
      </w:pPr>
      <w:r>
        <w:rPr>
          <w:rFonts w:hint="eastAsia" w:hAnsi="宋体" w:cs="宋体"/>
          <w:sz w:val="24"/>
          <w:highlight w:val="none"/>
        </w:rPr>
        <w:t>1.响应文件的密封与标记</w:t>
      </w:r>
    </w:p>
    <w:p>
      <w:pPr>
        <w:pStyle w:val="5"/>
        <w:spacing w:line="400" w:lineRule="exact"/>
        <w:ind w:firstLine="480" w:firstLineChars="200"/>
        <w:rPr>
          <w:rFonts w:hAnsi="宋体" w:cs="宋体"/>
          <w:sz w:val="24"/>
          <w:highlight w:val="none"/>
        </w:rPr>
      </w:pPr>
      <w:r>
        <w:rPr>
          <w:rFonts w:hint="eastAsia" w:hAnsi="宋体" w:cs="宋体"/>
          <w:sz w:val="24"/>
          <w:highlight w:val="none"/>
        </w:rPr>
        <w:t>响应文件的正本、副本以均应密封送达投标地点，应在封套上注明项目名称、投标人名称。若正本、副本分别进行密封的，还应在封套上注明“正本”、“副本”字样。</w:t>
      </w:r>
    </w:p>
    <w:p>
      <w:pPr>
        <w:pStyle w:val="5"/>
        <w:spacing w:line="400" w:lineRule="exact"/>
        <w:ind w:firstLine="480" w:firstLineChars="200"/>
        <w:rPr>
          <w:rFonts w:hAnsi="宋体" w:cs="宋体"/>
          <w:sz w:val="24"/>
          <w:highlight w:val="none"/>
        </w:rPr>
      </w:pPr>
      <w:r>
        <w:rPr>
          <w:rFonts w:hint="eastAsia" w:hAnsi="宋体" w:cs="宋体"/>
          <w:sz w:val="24"/>
          <w:highlight w:val="none"/>
        </w:rPr>
        <w:t>2.如果响应文件通过邮寄递交，投标人应将响应文件用内、外两层封套密封。</w:t>
      </w:r>
    </w:p>
    <w:p>
      <w:pPr>
        <w:pStyle w:val="5"/>
        <w:spacing w:line="400" w:lineRule="exact"/>
        <w:ind w:firstLine="480" w:firstLineChars="200"/>
        <w:rPr>
          <w:rFonts w:hAnsi="宋体" w:cs="宋体"/>
          <w:sz w:val="24"/>
          <w:highlight w:val="none"/>
        </w:rPr>
      </w:pPr>
      <w:r>
        <w:rPr>
          <w:rFonts w:hint="eastAsia" w:hAnsi="宋体" w:cs="宋体"/>
          <w:sz w:val="24"/>
          <w:highlight w:val="none"/>
        </w:rPr>
        <w:t>3.如果未按上述规定进行密封和标记，采购代理机构对响应文件误投、丢失或提前拆封不负责任。</w:t>
      </w:r>
    </w:p>
    <w:p>
      <w:pPr>
        <w:pStyle w:val="4"/>
        <w:rPr>
          <w:rFonts w:ascii="宋体" w:hAnsi="宋体" w:cs="宋体"/>
          <w:highlight w:val="none"/>
        </w:rPr>
      </w:pPr>
      <w:bookmarkStart w:id="64" w:name="_Toc13068"/>
      <w:bookmarkStart w:id="65" w:name="_Toc21425665"/>
      <w:r>
        <w:rPr>
          <w:rFonts w:hint="eastAsia" w:ascii="宋体" w:hAnsi="宋体" w:cs="宋体"/>
          <w:highlight w:val="none"/>
        </w:rPr>
        <w:t>四、评标</w:t>
      </w:r>
      <w:bookmarkEnd w:id="64"/>
      <w:bookmarkEnd w:id="65"/>
    </w:p>
    <w:p>
      <w:pPr>
        <w:snapToGrid w:val="0"/>
        <w:spacing w:line="400" w:lineRule="exact"/>
        <w:ind w:firstLine="480" w:firstLineChars="200"/>
        <w:rPr>
          <w:rFonts w:hAnsi="宋体" w:cs="宋体"/>
          <w:sz w:val="24"/>
          <w:highlight w:val="none"/>
        </w:rPr>
      </w:pPr>
      <w:r>
        <w:rPr>
          <w:rFonts w:hint="eastAsia" w:hAnsi="宋体" w:cs="宋体"/>
          <w:sz w:val="24"/>
          <w:highlight w:val="none"/>
        </w:rPr>
        <w:t>见第四篇“评标”内容。</w:t>
      </w:r>
    </w:p>
    <w:p>
      <w:pPr>
        <w:pStyle w:val="4"/>
        <w:rPr>
          <w:rFonts w:ascii="宋体" w:hAnsi="宋体" w:cs="宋体"/>
          <w:highlight w:val="none"/>
        </w:rPr>
      </w:pPr>
      <w:bookmarkStart w:id="66" w:name="_Toc7406"/>
      <w:bookmarkStart w:id="67" w:name="_Toc21425666"/>
      <w:r>
        <w:rPr>
          <w:rFonts w:hint="eastAsia" w:ascii="宋体" w:hAnsi="宋体" w:cs="宋体"/>
          <w:highlight w:val="none"/>
        </w:rPr>
        <w:t>五、定标</w:t>
      </w:r>
      <w:bookmarkEnd w:id="66"/>
      <w:bookmarkEnd w:id="67"/>
    </w:p>
    <w:p>
      <w:pPr>
        <w:pStyle w:val="5"/>
        <w:spacing w:line="400" w:lineRule="exact"/>
        <w:ind w:firstLine="480" w:firstLineChars="200"/>
        <w:rPr>
          <w:rFonts w:hAnsi="宋体" w:cs="宋体"/>
          <w:sz w:val="24"/>
          <w:highlight w:val="none"/>
        </w:rPr>
      </w:pPr>
      <w:bookmarkStart w:id="68" w:name="_Toc21425668"/>
      <w:r>
        <w:rPr>
          <w:rFonts w:hint="eastAsia" w:hAnsi="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ascii="宋体" w:hAnsi="宋体" w:cs="宋体"/>
          <w:highlight w:val="none"/>
        </w:rPr>
      </w:pPr>
      <w:bookmarkStart w:id="69" w:name="_Toc31429"/>
      <w:r>
        <w:rPr>
          <w:rFonts w:hint="eastAsia" w:ascii="宋体" w:hAnsi="宋体" w:cs="宋体"/>
          <w:highlight w:val="none"/>
        </w:rPr>
        <w:t>六、询问、质疑和投诉</w:t>
      </w:r>
      <w:bookmarkEnd w:id="68"/>
      <w:bookmarkEnd w:id="69"/>
    </w:p>
    <w:p>
      <w:pPr>
        <w:spacing w:line="400" w:lineRule="exact"/>
        <w:ind w:right="12" w:firstLine="480"/>
        <w:rPr>
          <w:rFonts w:hAnsi="宋体" w:cs="宋体"/>
          <w:sz w:val="24"/>
          <w:highlight w:val="none"/>
        </w:rPr>
      </w:pPr>
      <w:r>
        <w:rPr>
          <w:rFonts w:hint="eastAsia" w:hAnsi="宋体" w:cs="宋体"/>
          <w:sz w:val="24"/>
          <w:highlight w:val="none"/>
        </w:rPr>
        <w:t>（一）询问</w:t>
      </w:r>
    </w:p>
    <w:p>
      <w:pPr>
        <w:spacing w:line="400" w:lineRule="exact"/>
        <w:ind w:right="12" w:firstLine="480"/>
        <w:rPr>
          <w:rFonts w:hAnsi="宋体" w:cs="宋体"/>
          <w:sz w:val="24"/>
          <w:highlight w:val="none"/>
        </w:rPr>
      </w:pPr>
      <w:r>
        <w:rPr>
          <w:rFonts w:hint="eastAsia" w:hAnsi="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Ansi="宋体" w:cs="宋体"/>
          <w:sz w:val="24"/>
          <w:highlight w:val="none"/>
        </w:rPr>
      </w:pPr>
      <w:r>
        <w:rPr>
          <w:rFonts w:hint="eastAsia" w:hAnsi="宋体" w:cs="宋体"/>
          <w:sz w:val="24"/>
          <w:highlight w:val="none"/>
        </w:rPr>
        <w:t>（二）质疑</w:t>
      </w:r>
    </w:p>
    <w:p>
      <w:pPr>
        <w:snapToGrid w:val="0"/>
        <w:spacing w:line="400" w:lineRule="exact"/>
        <w:ind w:firstLine="480" w:firstLineChars="200"/>
        <w:rPr>
          <w:rFonts w:hAnsi="宋体" w:cs="宋体"/>
          <w:sz w:val="24"/>
          <w:highlight w:val="none"/>
        </w:rPr>
      </w:pPr>
      <w:r>
        <w:rPr>
          <w:rFonts w:hint="eastAsia" w:hAnsi="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Ansi="宋体" w:cs="宋体"/>
          <w:sz w:val="24"/>
          <w:highlight w:val="none"/>
        </w:rPr>
      </w:pPr>
      <w:r>
        <w:rPr>
          <w:rFonts w:hint="eastAsia" w:hAnsi="宋体" w:cs="宋体"/>
          <w:sz w:val="24"/>
          <w:highlight w:val="none"/>
        </w:rPr>
        <w:t xml:space="preserve">提出质疑的应当是参与所质疑项目采购活动的投标人。 </w:t>
      </w:r>
    </w:p>
    <w:p>
      <w:pPr>
        <w:snapToGrid w:val="0"/>
        <w:spacing w:line="400" w:lineRule="exact"/>
        <w:ind w:firstLine="480" w:firstLineChars="200"/>
        <w:rPr>
          <w:rFonts w:hAnsi="宋体" w:cs="宋体"/>
          <w:sz w:val="24"/>
          <w:highlight w:val="none"/>
        </w:rPr>
      </w:pPr>
      <w:r>
        <w:rPr>
          <w:rFonts w:hint="eastAsia" w:hAnsi="宋体" w:cs="宋体"/>
          <w:sz w:val="24"/>
          <w:highlight w:val="none"/>
        </w:rPr>
        <w:t>（三）投诉</w:t>
      </w:r>
    </w:p>
    <w:p>
      <w:pPr>
        <w:snapToGrid w:val="0"/>
        <w:spacing w:line="400" w:lineRule="exact"/>
        <w:ind w:firstLine="480" w:firstLineChars="200"/>
        <w:rPr>
          <w:rFonts w:hAnsi="宋体" w:cs="宋体"/>
          <w:sz w:val="24"/>
          <w:highlight w:val="none"/>
        </w:rPr>
      </w:pPr>
      <w:r>
        <w:rPr>
          <w:rFonts w:hint="eastAsia" w:hAnsi="宋体" w:cs="宋体"/>
          <w:sz w:val="24"/>
          <w:highlight w:val="none"/>
        </w:rPr>
        <w:t>1.投标人对采购人的答复不满意，或者采购人未在规定时间内作出答复的，可以在答复期满后15个工作日内按照相关法律法规向财政部门提起投诉。</w:t>
      </w:r>
    </w:p>
    <w:p>
      <w:pPr>
        <w:pStyle w:val="4"/>
        <w:rPr>
          <w:rFonts w:ascii="宋体" w:hAnsi="宋体" w:cs="宋体"/>
          <w:highlight w:val="none"/>
        </w:rPr>
      </w:pPr>
      <w:bookmarkStart w:id="70" w:name="_Toc9724"/>
      <w:bookmarkStart w:id="71" w:name="_Toc21425671"/>
      <w:r>
        <w:rPr>
          <w:rFonts w:hint="eastAsia" w:ascii="宋体" w:hAnsi="宋体" w:cs="宋体"/>
          <w:highlight w:val="none"/>
        </w:rPr>
        <w:t>七、签订合同</w:t>
      </w:r>
      <w:bookmarkEnd w:id="70"/>
      <w:bookmarkEnd w:id="71"/>
    </w:p>
    <w:p>
      <w:pPr>
        <w:spacing w:line="400" w:lineRule="exact"/>
        <w:ind w:firstLine="480" w:firstLineChars="200"/>
        <w:rPr>
          <w:rFonts w:hAnsi="宋体" w:cs="宋体"/>
          <w:sz w:val="24"/>
          <w:highlight w:val="none"/>
        </w:rPr>
      </w:pPr>
      <w:r>
        <w:rPr>
          <w:rFonts w:hint="eastAsia" w:hAnsi="宋体" w:cs="宋体"/>
          <w:sz w:val="24"/>
          <w:highlight w:val="none"/>
        </w:rPr>
        <w:t>（一）中标人应当自接到采购人中标电话通知后</w:t>
      </w:r>
      <w:r>
        <w:rPr>
          <w:rFonts w:hint="eastAsia" w:hAnsi="宋体" w:cs="宋体"/>
          <w:b/>
          <w:bCs/>
          <w:sz w:val="24"/>
          <w:highlight w:val="none"/>
        </w:rPr>
        <w:t>三十日</w:t>
      </w:r>
      <w:r>
        <w:rPr>
          <w:rFonts w:hint="eastAsia" w:hAnsi="宋体" w:cs="宋体"/>
          <w:sz w:val="24"/>
          <w:highlight w:val="none"/>
        </w:rPr>
        <w:t>内，按照竞争性比选文件和中标人响应文件的约定，与采购人签订书面合同。所签订的合同不得对竞争性比选文件和中标人响应文件作实质性修改。</w:t>
      </w:r>
    </w:p>
    <w:p>
      <w:pPr>
        <w:spacing w:line="400" w:lineRule="exact"/>
        <w:ind w:firstLine="480" w:firstLineChars="200"/>
        <w:rPr>
          <w:rFonts w:hAnsi="宋体" w:cs="宋体"/>
          <w:sz w:val="24"/>
          <w:highlight w:val="none"/>
        </w:rPr>
      </w:pPr>
      <w:r>
        <w:rPr>
          <w:rFonts w:hint="eastAsia" w:hAnsi="宋体" w:cs="宋体"/>
          <w:sz w:val="24"/>
          <w:highlight w:val="none"/>
        </w:rPr>
        <w:t>（二）竞争性比选文件、中标人的响应文件及澄清文件等，均为签订采购合同的依据。</w:t>
      </w:r>
    </w:p>
    <w:p>
      <w:pPr>
        <w:rPr>
          <w:rFonts w:hAnsi="宋体" w:cs="宋体"/>
          <w:sz w:val="32"/>
          <w:szCs w:val="32"/>
          <w:highlight w:val="none"/>
        </w:rPr>
      </w:pPr>
      <w:bookmarkStart w:id="72" w:name="_Toc509321006"/>
      <w:bookmarkStart w:id="73"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3"/>
        <w:spacing w:line="360" w:lineRule="auto"/>
        <w:rPr>
          <w:rFonts w:ascii="宋体" w:hAnsi="宋体" w:eastAsia="宋体" w:cs="宋体"/>
          <w:highlight w:val="none"/>
        </w:rPr>
      </w:pPr>
      <w:bookmarkStart w:id="74" w:name="_Toc20627"/>
      <w:r>
        <w:rPr>
          <w:rFonts w:hint="eastAsia" w:ascii="宋体" w:hAnsi="宋体" w:eastAsia="宋体" w:cs="宋体"/>
          <w:highlight w:val="none"/>
        </w:rPr>
        <w:t>第六篇 响应文件格式</w:t>
      </w:r>
      <w:bookmarkEnd w:id="72"/>
      <w:r>
        <w:rPr>
          <w:rFonts w:hint="eastAsia" w:ascii="宋体" w:hAnsi="宋体" w:eastAsia="宋体" w:cs="宋体"/>
          <w:highlight w:val="none"/>
        </w:rPr>
        <w:t>要求</w:t>
      </w:r>
      <w:bookmarkEnd w:id="73"/>
      <w:bookmarkEnd w:id="74"/>
    </w:p>
    <w:p>
      <w:pPr>
        <w:ind w:firstLine="560"/>
        <w:jc w:val="center"/>
        <w:rPr>
          <w:highlight w:val="none"/>
        </w:rPr>
      </w:pPr>
    </w:p>
    <w:p>
      <w:pPr>
        <w:ind w:firstLine="560"/>
        <w:jc w:val="center"/>
        <w:rPr>
          <w:highlight w:val="none"/>
        </w:rPr>
      </w:pPr>
      <w:r>
        <w:rPr>
          <w:rFonts w:hint="eastAsia"/>
          <w:highlight w:val="none"/>
        </w:rPr>
        <w:t>封  面</w:t>
      </w:r>
    </w:p>
    <w:p>
      <w:pPr>
        <w:ind w:firstLine="560"/>
        <w:rPr>
          <w:highlight w:val="none"/>
        </w:rPr>
      </w:pPr>
    </w:p>
    <w:p>
      <w:pPr>
        <w:jc w:val="center"/>
        <w:rPr>
          <w:sz w:val="52"/>
          <w:szCs w:val="52"/>
          <w:highlight w:val="none"/>
        </w:rPr>
      </w:pPr>
      <w:r>
        <w:rPr>
          <w:rFonts w:hint="eastAsia"/>
          <w:sz w:val="52"/>
          <w:szCs w:val="52"/>
          <w:highlight w:val="none"/>
        </w:rPr>
        <w:t>重庆医科大学附属口腔医院</w:t>
      </w:r>
    </w:p>
    <w:p>
      <w:pPr>
        <w:jc w:val="left"/>
        <w:rPr>
          <w:sz w:val="52"/>
          <w:szCs w:val="52"/>
          <w:highlight w:val="none"/>
        </w:rPr>
      </w:pPr>
      <w:r>
        <w:rPr>
          <w:rFonts w:hint="eastAsia"/>
          <w:sz w:val="52"/>
          <w:szCs w:val="52"/>
          <w:highlight w:val="none"/>
        </w:rPr>
        <w:t>项目名称：</w:t>
      </w:r>
    </w:p>
    <w:p>
      <w:pPr>
        <w:jc w:val="left"/>
        <w:rPr>
          <w:sz w:val="52"/>
          <w:szCs w:val="52"/>
          <w:highlight w:val="none"/>
        </w:rPr>
      </w:pPr>
      <w:r>
        <w:rPr>
          <w:rFonts w:hint="eastAsia"/>
          <w:sz w:val="52"/>
          <w:szCs w:val="52"/>
          <w:highlight w:val="none"/>
        </w:rPr>
        <w:t>项目编号：</w:t>
      </w:r>
    </w:p>
    <w:p>
      <w:pPr>
        <w:jc w:val="center"/>
        <w:rPr>
          <w:highlight w:val="none"/>
        </w:rPr>
      </w:pPr>
      <w:r>
        <w:rPr>
          <w:rFonts w:hint="eastAsia"/>
          <w:highlight w:val="none"/>
        </w:rPr>
        <w:t>（正本/副本）</w:t>
      </w:r>
    </w:p>
    <w:p>
      <w:pPr>
        <w:rPr>
          <w:highlight w:val="none"/>
        </w:rPr>
      </w:pPr>
    </w:p>
    <w:p>
      <w:pPr>
        <w:rPr>
          <w:highlight w:val="none"/>
        </w:rPr>
      </w:pPr>
    </w:p>
    <w:p>
      <w:pPr>
        <w:jc w:val="center"/>
        <w:rPr>
          <w:sz w:val="72"/>
          <w:szCs w:val="72"/>
          <w:highlight w:val="none"/>
        </w:rPr>
      </w:pPr>
      <w:r>
        <w:rPr>
          <w:rFonts w:hint="eastAsia"/>
          <w:sz w:val="72"/>
          <w:szCs w:val="72"/>
          <w:highlight w:val="none"/>
        </w:rPr>
        <w:t>响</w:t>
      </w:r>
    </w:p>
    <w:p>
      <w:pPr>
        <w:jc w:val="center"/>
        <w:rPr>
          <w:sz w:val="72"/>
          <w:szCs w:val="72"/>
          <w:highlight w:val="none"/>
        </w:rPr>
      </w:pPr>
      <w:r>
        <w:rPr>
          <w:rFonts w:hint="eastAsia"/>
          <w:sz w:val="72"/>
          <w:szCs w:val="72"/>
          <w:highlight w:val="none"/>
        </w:rPr>
        <w:t>应</w:t>
      </w:r>
    </w:p>
    <w:p>
      <w:pPr>
        <w:jc w:val="center"/>
        <w:rPr>
          <w:sz w:val="72"/>
          <w:szCs w:val="72"/>
          <w:highlight w:val="none"/>
        </w:rPr>
      </w:pPr>
      <w:r>
        <w:rPr>
          <w:rFonts w:hint="eastAsia"/>
          <w:sz w:val="72"/>
          <w:szCs w:val="72"/>
          <w:highlight w:val="none"/>
        </w:rPr>
        <w:t>文</w:t>
      </w:r>
    </w:p>
    <w:p>
      <w:pPr>
        <w:jc w:val="center"/>
        <w:rPr>
          <w:sz w:val="72"/>
          <w:szCs w:val="72"/>
          <w:highlight w:val="none"/>
        </w:rPr>
      </w:pPr>
      <w:r>
        <w:rPr>
          <w:rFonts w:hint="eastAsia"/>
          <w:sz w:val="72"/>
          <w:szCs w:val="72"/>
          <w:highlight w:val="none"/>
        </w:rPr>
        <w:t>件</w:t>
      </w:r>
    </w:p>
    <w:p>
      <w:pPr>
        <w:ind w:firstLine="560"/>
        <w:rPr>
          <w:highlight w:val="none"/>
        </w:rPr>
      </w:pPr>
    </w:p>
    <w:p>
      <w:pPr>
        <w:ind w:firstLine="560"/>
        <w:rPr>
          <w:highlight w:val="none"/>
        </w:rPr>
      </w:pPr>
    </w:p>
    <w:p>
      <w:pPr>
        <w:spacing w:line="360" w:lineRule="auto"/>
        <w:ind w:firstLine="560"/>
        <w:rPr>
          <w:highlight w:val="none"/>
        </w:rPr>
      </w:pPr>
      <w:r>
        <w:rPr>
          <w:rFonts w:hint="eastAsia"/>
          <w:highlight w:val="none"/>
        </w:rPr>
        <w:t>投标人（盖章）：</w:t>
      </w:r>
    </w:p>
    <w:p>
      <w:pPr>
        <w:spacing w:line="360" w:lineRule="auto"/>
        <w:ind w:firstLine="560"/>
        <w:rPr>
          <w:highlight w:val="none"/>
        </w:rPr>
      </w:pPr>
      <w:r>
        <w:rPr>
          <w:rFonts w:hint="eastAsia"/>
          <w:highlight w:val="none"/>
        </w:rPr>
        <w:t>联系人：</w:t>
      </w:r>
    </w:p>
    <w:p>
      <w:pPr>
        <w:spacing w:line="360" w:lineRule="auto"/>
        <w:ind w:firstLine="560"/>
        <w:rPr>
          <w:highlight w:val="none"/>
        </w:rPr>
      </w:pPr>
      <w:r>
        <w:rPr>
          <w:rFonts w:hint="eastAsia"/>
          <w:highlight w:val="none"/>
        </w:rPr>
        <w:t>联系电话：</w:t>
      </w:r>
    </w:p>
    <w:p>
      <w:pPr>
        <w:ind w:firstLine="560"/>
        <w:rPr>
          <w:highlight w:val="none"/>
        </w:rPr>
      </w:pPr>
      <w:r>
        <w:rPr>
          <w:rFonts w:hint="eastAsia"/>
          <w:highlight w:val="none"/>
        </w:rPr>
        <w:t>投标人地址：</w:t>
      </w:r>
    </w:p>
    <w:p>
      <w:pPr>
        <w:rPr>
          <w:rFonts w:hAnsi="宋体" w:cs="宋体"/>
          <w:highlight w:val="none"/>
        </w:rPr>
      </w:pPr>
    </w:p>
    <w:p>
      <w:pPr>
        <w:jc w:val="center"/>
        <w:rPr>
          <w:rFonts w:hAnsi="宋体" w:cs="宋体"/>
          <w:highlight w:val="none"/>
        </w:rPr>
      </w:pPr>
      <w:r>
        <w:rPr>
          <w:rFonts w:hint="eastAsia" w:hAnsi="宋体" w:cs="宋体"/>
          <w:highlight w:val="none"/>
        </w:rPr>
        <w:t>（注：档案袋封面格式同此格式）</w:t>
      </w:r>
    </w:p>
    <w:p>
      <w:pPr>
        <w:rPr>
          <w:highlight w:val="none"/>
        </w:rPr>
      </w:pPr>
    </w:p>
    <w:p>
      <w:pPr>
        <w:rPr>
          <w:rFonts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（一）采购项目一览表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75" w:name="_Toc429584884"/>
      <w:bookmarkStart w:id="76" w:name="_Toc19113861"/>
      <w:bookmarkStart w:id="77" w:name="_Toc509321007"/>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szCs w:val="28"/>
          <w:highlight w:val="none"/>
        </w:rPr>
      </w:pPr>
      <w:r>
        <w:rPr>
          <w:rFonts w:hint="eastAsia"/>
          <w:szCs w:val="28"/>
          <w:highlight w:val="none"/>
        </w:rPr>
        <w:br w:type="page"/>
      </w:r>
    </w:p>
    <w:p>
      <w:pPr>
        <w:pStyle w:val="4"/>
        <w:rPr>
          <w:szCs w:val="28"/>
          <w:highlight w:val="none"/>
        </w:rPr>
      </w:pPr>
      <w:bookmarkStart w:id="78" w:name="_Toc7369"/>
      <w:r>
        <w:rPr>
          <w:rFonts w:hint="eastAsia"/>
          <w:szCs w:val="28"/>
          <w:highlight w:val="none"/>
        </w:rPr>
        <w:t>一、经济文件</w:t>
      </w:r>
      <w:bookmarkEnd w:id="75"/>
      <w:bookmarkEnd w:id="76"/>
      <w:bookmarkEnd w:id="77"/>
      <w:bookmarkEnd w:id="78"/>
    </w:p>
    <w:p>
      <w:pPr>
        <w:snapToGrid w:val="0"/>
        <w:spacing w:line="360" w:lineRule="auto"/>
        <w:jc w:val="center"/>
        <w:rPr>
          <w:rFonts w:hAnsi="宋体" w:cs="宋体"/>
          <w:sz w:val="28"/>
          <w:szCs w:val="28"/>
          <w:highlight w:val="none"/>
        </w:rPr>
      </w:pPr>
      <w:r>
        <w:rPr>
          <w:rFonts w:hint="eastAsia" w:hAnsi="宋体" w:cs="宋体"/>
          <w:sz w:val="28"/>
          <w:szCs w:val="28"/>
          <w:highlight w:val="none"/>
        </w:rPr>
        <w:t>（一）采购项目一览表</w:t>
      </w:r>
    </w:p>
    <w:p>
      <w:pPr>
        <w:spacing w:line="360" w:lineRule="auto"/>
        <w:ind w:firstLine="280" w:firstLineChars="100"/>
        <w:rPr>
          <w:rFonts w:hAnsi="宋体" w:cs="宋体"/>
          <w:sz w:val="28"/>
          <w:szCs w:val="28"/>
          <w:highlight w:val="none"/>
        </w:rPr>
      </w:pPr>
    </w:p>
    <w:p>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rPr>
        <w:t xml:space="preserve">采购项目名称： </w:t>
      </w:r>
    </w:p>
    <w:tbl>
      <w:tblPr>
        <w:tblStyle w:val="11"/>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highlight w:val="none"/>
              </w:rPr>
            </w:pPr>
            <w:r>
              <w:rPr>
                <w:rFonts w:hint="eastAsia" w:ascii="方正仿宋_GBK" w:hAnsi="宋体" w:eastAsia="方正仿宋_GBK"/>
                <w:sz w:val="21"/>
                <w:szCs w:val="28"/>
                <w:highlight w:val="none"/>
              </w:rPr>
              <w:t>备注：</w:t>
            </w:r>
          </w:p>
        </w:tc>
      </w:tr>
    </w:tbl>
    <w:p>
      <w:pPr>
        <w:pStyle w:val="6"/>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1.采购项目一览表按格式填列；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 xml:space="preserve">2.采购项目一览表务必填写清楚，准确无误； </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采购项目名称：</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highlight w:val="none"/>
              </w:rPr>
            </w:pPr>
            <w:r>
              <w:rPr>
                <w:rFonts w:hint="eastAsia"/>
                <w:highlight w:val="none"/>
              </w:rPr>
              <w:t>序号</w:t>
            </w:r>
          </w:p>
        </w:tc>
        <w:tc>
          <w:tcPr>
            <w:tcW w:w="934" w:type="dxa"/>
            <w:vAlign w:val="center"/>
          </w:tcPr>
          <w:p>
            <w:pPr>
              <w:rPr>
                <w:highlight w:val="none"/>
              </w:rPr>
            </w:pPr>
            <w:r>
              <w:rPr>
                <w:rFonts w:hint="eastAsia"/>
                <w:highlight w:val="none"/>
              </w:rPr>
              <w:t>名称</w:t>
            </w:r>
          </w:p>
        </w:tc>
        <w:tc>
          <w:tcPr>
            <w:tcW w:w="2474" w:type="dxa"/>
            <w:vAlign w:val="center"/>
          </w:tcPr>
          <w:p>
            <w:pPr>
              <w:rPr>
                <w:highlight w:val="none"/>
              </w:rPr>
            </w:pPr>
            <w:r>
              <w:rPr>
                <w:rFonts w:hint="eastAsia"/>
                <w:highlight w:val="none"/>
              </w:rPr>
              <w:t>品牌、规格型号</w:t>
            </w:r>
          </w:p>
        </w:tc>
        <w:tc>
          <w:tcPr>
            <w:tcW w:w="1242" w:type="dxa"/>
            <w:vAlign w:val="center"/>
          </w:tcPr>
          <w:p>
            <w:pPr>
              <w:rPr>
                <w:highlight w:val="none"/>
              </w:rPr>
            </w:pPr>
            <w:r>
              <w:rPr>
                <w:rFonts w:hint="eastAsia"/>
                <w:highlight w:val="none"/>
              </w:rPr>
              <w:t>制造商</w:t>
            </w:r>
          </w:p>
        </w:tc>
        <w:tc>
          <w:tcPr>
            <w:tcW w:w="1242" w:type="dxa"/>
            <w:vAlign w:val="center"/>
          </w:tcPr>
          <w:p>
            <w:pPr>
              <w:rPr>
                <w:highlight w:val="none"/>
              </w:rPr>
            </w:pPr>
            <w:r>
              <w:rPr>
                <w:rFonts w:hint="eastAsia"/>
                <w:highlight w:val="none"/>
              </w:rPr>
              <w:t>原产地</w:t>
            </w:r>
          </w:p>
        </w:tc>
        <w:tc>
          <w:tcPr>
            <w:tcW w:w="934" w:type="dxa"/>
            <w:vAlign w:val="center"/>
          </w:tcPr>
          <w:p>
            <w:pPr>
              <w:rPr>
                <w:highlight w:val="none"/>
              </w:rPr>
            </w:pPr>
            <w:r>
              <w:rPr>
                <w:rFonts w:hint="eastAsia"/>
                <w:highlight w:val="none"/>
              </w:rPr>
              <w:t>数量</w:t>
            </w:r>
          </w:p>
        </w:tc>
        <w:tc>
          <w:tcPr>
            <w:tcW w:w="934" w:type="dxa"/>
            <w:vAlign w:val="center"/>
          </w:tcPr>
          <w:p>
            <w:pPr>
              <w:rPr>
                <w:highlight w:val="none"/>
              </w:rPr>
            </w:pPr>
            <w:r>
              <w:rPr>
                <w:rFonts w:hint="eastAsia"/>
                <w:highlight w:val="none"/>
              </w:rPr>
              <w:t>单价</w:t>
            </w:r>
          </w:p>
        </w:tc>
        <w:tc>
          <w:tcPr>
            <w:tcW w:w="934" w:type="dxa"/>
            <w:vAlign w:val="center"/>
          </w:tcPr>
          <w:p>
            <w:pPr>
              <w:rPr>
                <w:highlight w:val="none"/>
              </w:rPr>
            </w:pPr>
            <w:r>
              <w:rPr>
                <w:rFonts w:hint="eastAsia"/>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2</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3</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4</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5</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6</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7</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8</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9</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10</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11</w:t>
            </w:r>
          </w:p>
        </w:tc>
        <w:tc>
          <w:tcPr>
            <w:tcW w:w="934" w:type="dxa"/>
            <w:vAlign w:val="center"/>
          </w:tcPr>
          <w:p>
            <w:pPr>
              <w:rPr>
                <w:highlight w:val="none"/>
              </w:rPr>
            </w:pPr>
            <w:r>
              <w:rPr>
                <w:rFonts w:hint="eastAsia"/>
                <w:highlight w:val="none"/>
              </w:rPr>
              <w:t>……</w:t>
            </w: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12</w:t>
            </w:r>
          </w:p>
        </w:tc>
        <w:tc>
          <w:tcPr>
            <w:tcW w:w="934" w:type="dxa"/>
            <w:vAlign w:val="center"/>
          </w:tcPr>
          <w:p>
            <w:pPr>
              <w:rPr>
                <w:highlight w:val="none"/>
              </w:rPr>
            </w:pPr>
            <w:r>
              <w:rPr>
                <w:rFonts w:hint="eastAsia"/>
                <w:highlight w:val="none"/>
              </w:rPr>
              <w:t>总计</w:t>
            </w:r>
          </w:p>
        </w:tc>
        <w:tc>
          <w:tcPr>
            <w:tcW w:w="7760" w:type="dxa"/>
            <w:gridSpan w:val="6"/>
          </w:tcPr>
          <w:p>
            <w:pPr>
              <w:rPr>
                <w:highlight w:val="none"/>
              </w:rPr>
            </w:pP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pStyle w:val="4"/>
        <w:rPr>
          <w:highlight w:val="none"/>
        </w:rPr>
      </w:pPr>
      <w:bookmarkStart w:id="79" w:name="_Toc8743"/>
      <w:r>
        <w:rPr>
          <w:rFonts w:hint="eastAsia"/>
          <w:highlight w:val="none"/>
        </w:rPr>
        <w:t>二、技术文件</w:t>
      </w:r>
      <w:bookmarkEnd w:id="79"/>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80" w:name="_Toc19113862"/>
      <w:r>
        <w:rPr>
          <w:rFonts w:hint="eastAsia" w:hAnsi="宋体" w:cs="宋体"/>
          <w:sz w:val="28"/>
          <w:szCs w:val="28"/>
          <w:highlight w:val="none"/>
        </w:rPr>
        <w:t xml:space="preserve">         采购项目名称：</w:t>
      </w:r>
      <w:bookmarkEnd w:id="80"/>
    </w:p>
    <w:tbl>
      <w:tblPr>
        <w:tblStyle w:val="11"/>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81" w:name="_Toc19113863"/>
            <w:r>
              <w:rPr>
                <w:rFonts w:hint="eastAsia" w:hAnsi="宋体" w:cs="宋体"/>
                <w:sz w:val="28"/>
                <w:szCs w:val="28"/>
                <w:highlight w:val="none"/>
              </w:rPr>
              <w:t>序号</w:t>
            </w:r>
            <w:bookmarkEnd w:id="81"/>
          </w:p>
        </w:tc>
        <w:tc>
          <w:tcPr>
            <w:tcW w:w="2428" w:type="dxa"/>
            <w:vAlign w:val="center"/>
          </w:tcPr>
          <w:p>
            <w:pPr>
              <w:spacing w:line="360" w:lineRule="auto"/>
              <w:jc w:val="center"/>
              <w:rPr>
                <w:rFonts w:hAnsi="宋体" w:cs="宋体"/>
                <w:sz w:val="28"/>
                <w:szCs w:val="28"/>
                <w:highlight w:val="none"/>
              </w:rPr>
            </w:pPr>
            <w:bookmarkStart w:id="82" w:name="_Toc19113864"/>
            <w:r>
              <w:rPr>
                <w:rFonts w:hint="eastAsia" w:hAnsi="宋体" w:cs="宋体"/>
                <w:sz w:val="28"/>
                <w:szCs w:val="28"/>
                <w:highlight w:val="none"/>
              </w:rPr>
              <w:t>招标要求</w:t>
            </w:r>
            <w:bookmarkEnd w:id="82"/>
          </w:p>
        </w:tc>
        <w:tc>
          <w:tcPr>
            <w:tcW w:w="2520" w:type="dxa"/>
            <w:vAlign w:val="center"/>
          </w:tcPr>
          <w:p>
            <w:pPr>
              <w:spacing w:line="360" w:lineRule="auto"/>
              <w:jc w:val="center"/>
              <w:rPr>
                <w:rFonts w:hAnsi="宋体" w:cs="宋体"/>
                <w:sz w:val="28"/>
                <w:szCs w:val="28"/>
                <w:highlight w:val="none"/>
              </w:rPr>
            </w:pPr>
            <w:bookmarkStart w:id="83" w:name="_Toc19113865"/>
            <w:r>
              <w:rPr>
                <w:rFonts w:hint="eastAsia" w:hAnsi="宋体" w:cs="宋体"/>
                <w:sz w:val="28"/>
                <w:szCs w:val="28"/>
                <w:highlight w:val="none"/>
              </w:rPr>
              <w:t>投标应答</w:t>
            </w:r>
            <w:bookmarkEnd w:id="83"/>
          </w:p>
        </w:tc>
        <w:tc>
          <w:tcPr>
            <w:tcW w:w="1888" w:type="dxa"/>
            <w:vAlign w:val="center"/>
          </w:tcPr>
          <w:p>
            <w:pPr>
              <w:spacing w:line="360" w:lineRule="auto"/>
              <w:jc w:val="center"/>
              <w:rPr>
                <w:rFonts w:hAnsi="宋体" w:cs="宋体"/>
                <w:sz w:val="28"/>
                <w:szCs w:val="28"/>
                <w:highlight w:val="none"/>
              </w:rPr>
            </w:pPr>
            <w:bookmarkStart w:id="84" w:name="_Toc19113866"/>
            <w:r>
              <w:rPr>
                <w:rFonts w:hint="eastAsia" w:hAnsi="宋体" w:cs="宋体"/>
                <w:sz w:val="28"/>
                <w:szCs w:val="28"/>
                <w:highlight w:val="none"/>
              </w:rPr>
              <w:t>差异说明</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1.本表即为对本项目“技术要求”中所列技术要求进行比较和响应；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1"/>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1"/>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85" w:name="_Toc19113867"/>
      <w:bookmarkStart w:id="86" w:name="_Toc509321009"/>
      <w:bookmarkStart w:id="87" w:name="_Toc492721039"/>
      <w:bookmarkStart w:id="88" w:name="_Toc493178791"/>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rPr>
          <w:highlight w:val="none"/>
        </w:rPr>
      </w:pPr>
      <w:bookmarkStart w:id="89" w:name="_Toc10814"/>
      <w:r>
        <w:rPr>
          <w:rFonts w:hint="eastAsia"/>
          <w:highlight w:val="none"/>
        </w:rPr>
        <w:t>三、商务文件</w:t>
      </w:r>
      <w:bookmarkEnd w:id="85"/>
      <w:bookmarkEnd w:id="86"/>
      <w:bookmarkEnd w:id="87"/>
      <w:bookmarkEnd w:id="88"/>
      <w:bookmarkEnd w:id="89"/>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rPr>
        <w:t>采购项目名称：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rPr>
        <w:t xml:space="preserve">        </w:t>
      </w:r>
      <w:r>
        <w:rPr>
          <w:rFonts w:hint="eastAsia" w:hAnsi="宋体" w:cs="宋体"/>
          <w:sz w:val="28"/>
          <w:szCs w:val="28"/>
          <w:highlight w:val="none"/>
        </w:rPr>
        <w:t xml:space="preserve"> 。我方就参加本次投标有关事项郑重声明如下：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一、我方完全理解并接受该项目竞争性比选文件所有要求。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二、我方提交的所有响应文件、资料都是准确和真实的，如有虚假或隐瞒，我方愿意承担一切法律责任。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三、我方承诺按照竞争性比选文件要求，提供采购项目的货物和服务。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四、我方按竞争性比选文件要求提交的响应文件为：响应文件正本1份，副本1份。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七、如果我方中标，我方将履行竞争性比选文件中规定的各项要求以及我方响应文件的各项承诺，按《政府采购法》、《民法典》及合同约定条款承担我方责任。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90" w:name="_Toc19113868"/>
      <w:r>
        <w:rPr>
          <w:rFonts w:hint="eastAsia" w:hAnsi="宋体" w:cs="宋体"/>
          <w:sz w:val="28"/>
          <w:szCs w:val="28"/>
          <w:highlight w:val="none"/>
        </w:rPr>
        <w:t>（二）商务条款差异表</w:t>
      </w:r>
      <w:bookmarkEnd w:id="90"/>
    </w:p>
    <w:p>
      <w:pPr>
        <w:spacing w:line="360" w:lineRule="auto"/>
        <w:jc w:val="left"/>
        <w:rPr>
          <w:rFonts w:hAnsi="宋体" w:cs="宋体"/>
          <w:sz w:val="28"/>
          <w:szCs w:val="28"/>
          <w:highlight w:val="none"/>
        </w:rPr>
      </w:pPr>
      <w:bookmarkStart w:id="91" w:name="_Toc19113869"/>
      <w:r>
        <w:rPr>
          <w:rFonts w:hint="eastAsia" w:hAnsi="宋体" w:cs="宋体"/>
          <w:sz w:val="28"/>
          <w:szCs w:val="28"/>
          <w:highlight w:val="none"/>
        </w:rPr>
        <w:t xml:space="preserve">         采购项目名称：</w:t>
      </w:r>
      <w:bookmarkEnd w:id="91"/>
    </w:p>
    <w:tbl>
      <w:tblPr>
        <w:tblStyle w:val="11"/>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92" w:name="_Toc19113870"/>
            <w:r>
              <w:rPr>
                <w:rFonts w:hint="eastAsia" w:hAnsi="宋体" w:cs="宋体"/>
                <w:sz w:val="28"/>
                <w:szCs w:val="28"/>
                <w:highlight w:val="none"/>
              </w:rPr>
              <w:t>序号</w:t>
            </w:r>
            <w:bookmarkEnd w:id="92"/>
          </w:p>
        </w:tc>
        <w:tc>
          <w:tcPr>
            <w:tcW w:w="2428" w:type="dxa"/>
            <w:vAlign w:val="center"/>
          </w:tcPr>
          <w:p>
            <w:pPr>
              <w:spacing w:line="360" w:lineRule="auto"/>
              <w:jc w:val="center"/>
              <w:rPr>
                <w:rFonts w:hAnsi="宋体" w:cs="宋体"/>
                <w:sz w:val="28"/>
                <w:szCs w:val="28"/>
                <w:highlight w:val="none"/>
              </w:rPr>
            </w:pPr>
            <w:bookmarkStart w:id="93" w:name="_Toc19113871"/>
            <w:r>
              <w:rPr>
                <w:rFonts w:hint="eastAsia" w:hAnsi="宋体" w:cs="宋体"/>
                <w:sz w:val="28"/>
                <w:szCs w:val="28"/>
                <w:highlight w:val="none"/>
              </w:rPr>
              <w:t>招标商务要求</w:t>
            </w:r>
            <w:bookmarkEnd w:id="93"/>
          </w:p>
        </w:tc>
        <w:tc>
          <w:tcPr>
            <w:tcW w:w="2520" w:type="dxa"/>
            <w:vAlign w:val="center"/>
          </w:tcPr>
          <w:p>
            <w:pPr>
              <w:spacing w:line="360" w:lineRule="auto"/>
              <w:jc w:val="center"/>
              <w:rPr>
                <w:rFonts w:hAnsi="宋体" w:cs="宋体"/>
                <w:sz w:val="28"/>
                <w:szCs w:val="28"/>
                <w:highlight w:val="none"/>
              </w:rPr>
            </w:pPr>
            <w:bookmarkStart w:id="94" w:name="_Toc19113872"/>
            <w:r>
              <w:rPr>
                <w:rFonts w:hint="eastAsia" w:hAnsi="宋体" w:cs="宋体"/>
                <w:sz w:val="28"/>
                <w:szCs w:val="28"/>
                <w:highlight w:val="none"/>
              </w:rPr>
              <w:t>投标商务应答</w:t>
            </w:r>
            <w:bookmarkEnd w:id="94"/>
          </w:p>
        </w:tc>
        <w:tc>
          <w:tcPr>
            <w:tcW w:w="1888" w:type="dxa"/>
            <w:vAlign w:val="center"/>
          </w:tcPr>
          <w:p>
            <w:pPr>
              <w:spacing w:line="360" w:lineRule="auto"/>
              <w:jc w:val="center"/>
              <w:rPr>
                <w:rFonts w:hAnsi="宋体" w:cs="宋体"/>
                <w:sz w:val="28"/>
                <w:szCs w:val="28"/>
                <w:highlight w:val="none"/>
              </w:rPr>
            </w:pPr>
            <w:bookmarkStart w:id="95" w:name="_Toc19113873"/>
            <w:r>
              <w:rPr>
                <w:rFonts w:hint="eastAsia" w:hAnsi="宋体" w:cs="宋体"/>
                <w:sz w:val="28"/>
                <w:szCs w:val="28"/>
                <w:highlight w:val="none"/>
              </w:rPr>
              <w:t>差异说明</w:t>
            </w:r>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2.该表必须按照竞争性比选文件要求逐条如实填写，根据投标情况在“差异说明”项填写正偏离或负偏离及原因，完全符合的填写“无差异”。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96" w:name="_Toc19113874"/>
      <w:r>
        <w:rPr>
          <w:rFonts w:hint="eastAsia"/>
          <w:highlight w:val="none"/>
        </w:rPr>
        <w:t>（三）商务条款相关支撑资料</w:t>
      </w:r>
      <w:bookmarkEnd w:id="96"/>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97" w:name="_Toc493178792"/>
      <w:bookmarkStart w:id="98" w:name="_Toc492721041"/>
      <w:bookmarkStart w:id="99" w:name="_Toc509321010"/>
      <w:bookmarkStart w:id="100"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4"/>
        <w:rPr>
          <w:highlight w:val="none"/>
        </w:rPr>
      </w:pPr>
      <w:bookmarkStart w:id="101" w:name="_Toc1750"/>
      <w:r>
        <w:rPr>
          <w:rFonts w:hint="eastAsia"/>
          <w:highlight w:val="none"/>
        </w:rPr>
        <w:t>四、</w:t>
      </w:r>
      <w:bookmarkEnd w:id="97"/>
      <w:bookmarkEnd w:id="98"/>
      <w:bookmarkEnd w:id="99"/>
      <w:r>
        <w:rPr>
          <w:rFonts w:hint="eastAsia"/>
          <w:highlight w:val="none"/>
        </w:rPr>
        <w:t>其他与项目有关的资料（自附）</w:t>
      </w:r>
      <w:bookmarkEnd w:id="100"/>
      <w:bookmarkEnd w:id="101"/>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4"/>
        <w:rPr>
          <w:highlight w:val="none"/>
        </w:rPr>
      </w:pPr>
      <w:bookmarkStart w:id="102" w:name="_Toc6692"/>
      <w:bookmarkStart w:id="103" w:name="_Toc509321011"/>
      <w:bookmarkStart w:id="104" w:name="_Toc492721038"/>
      <w:bookmarkStart w:id="105" w:name="_Toc493178793"/>
      <w:bookmarkStart w:id="106" w:name="_Toc19113880"/>
      <w:r>
        <w:rPr>
          <w:rFonts w:hint="eastAsia"/>
          <w:highlight w:val="none"/>
        </w:rPr>
        <w:t>五、资格文件</w:t>
      </w:r>
      <w:bookmarkEnd w:id="102"/>
      <w:bookmarkEnd w:id="103"/>
      <w:bookmarkEnd w:id="104"/>
      <w:bookmarkEnd w:id="105"/>
      <w:bookmarkEnd w:id="106"/>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采购项目名称：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采购项目名称：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1.若为法定代表人办理并签署响应文件的，不提供此文件。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采购项目名称：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PingFangSC-Regular">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重庆医科大学附属口腔医院                                                                   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ecb55348-33fe-4059-b8c7-ebede3a306ba"/>
  </w:docVars>
  <w:rsids>
    <w:rsidRoot w:val="00C56099"/>
    <w:rsid w:val="0083665E"/>
    <w:rsid w:val="00C56099"/>
    <w:rsid w:val="00ED443C"/>
    <w:rsid w:val="04247A68"/>
    <w:rsid w:val="077A5F2A"/>
    <w:rsid w:val="26C91ABE"/>
    <w:rsid w:val="33AF2A38"/>
    <w:rsid w:val="47915527"/>
    <w:rsid w:val="7202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15"/>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4"/>
    <w:qFormat/>
    <w:uiPriority w:val="0"/>
    <w:pPr>
      <w:keepNext/>
      <w:keepLines/>
      <w:jc w:val="left"/>
      <w:outlineLvl w:val="1"/>
    </w:pPr>
    <w:rPr>
      <w:rFonts w:ascii="Arial" w:hAnsi="Arial"/>
      <w:bCs/>
      <w:kern w:val="2"/>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napToGrid w:val="0"/>
      <w:spacing w:line="360" w:lineRule="auto"/>
      <w:ind w:firstLine="420" w:firstLineChars="200"/>
    </w:pPr>
    <w:rPr>
      <w:rFonts w:ascii="Times New Roman"/>
      <w:kern w:val="2"/>
      <w:sz w:val="21"/>
      <w:szCs w:val="24"/>
    </w:rPr>
  </w:style>
  <w:style w:type="paragraph" w:styleId="5">
    <w:name w:val="Plain Text"/>
    <w:basedOn w:val="1"/>
    <w:qFormat/>
    <w:uiPriority w:val="99"/>
    <w:rPr>
      <w:rFonts w:hAnsi="Courier New"/>
      <w:kern w:val="2"/>
      <w:sz w:val="21"/>
      <w:szCs w:val="21"/>
    </w:rPr>
  </w:style>
  <w:style w:type="paragraph" w:styleId="6">
    <w:name w:val="Date"/>
    <w:basedOn w:val="1"/>
    <w:next w:val="1"/>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rPr>
  </w:style>
  <w:style w:type="paragraph" w:styleId="10">
    <w:name w:val="toc 2"/>
    <w:basedOn w:val="1"/>
    <w:next w:val="1"/>
    <w:qFormat/>
    <w:uiPriority w:val="39"/>
    <w:pPr>
      <w:spacing w:line="312" w:lineRule="auto"/>
      <w:ind w:left="420"/>
      <w:jc w:val="right"/>
    </w:pPr>
    <w:rPr>
      <w:rFonts w:ascii="FangSong_GB2312" w:eastAsia="FangSong_GB2312"/>
      <w:bCs/>
      <w:smallCaps/>
      <w:sz w:val="24"/>
    </w:rPr>
  </w:style>
  <w:style w:type="character" w:styleId="13">
    <w:name w:val="Hyperlink"/>
    <w:qFormat/>
    <w:uiPriority w:val="99"/>
    <w:rPr>
      <w:color w:val="0000FF"/>
      <w:u w:val="single"/>
    </w:rPr>
  </w:style>
  <w:style w:type="character" w:customStyle="1" w:styleId="14">
    <w:name w:val="标题 2 Char"/>
    <w:link w:val="4"/>
    <w:qFormat/>
    <w:uiPriority w:val="0"/>
    <w:rPr>
      <w:rFonts w:ascii="Arial" w:hAnsi="Arial"/>
      <w:bCs/>
      <w:kern w:val="2"/>
      <w:sz w:val="28"/>
      <w:szCs w:val="32"/>
    </w:rPr>
  </w:style>
  <w:style w:type="character" w:customStyle="1" w:styleId="15">
    <w:name w:val="标题 1 Char"/>
    <w:link w:val="3"/>
    <w:qFormat/>
    <w:uiPriority w:val="0"/>
    <w:rPr>
      <w:rFonts w:ascii="Times New Roman" w:eastAsia="仿宋"/>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32</Pages>
  <Words>10676</Words>
  <Characters>10910</Characters>
  <Lines>104</Lines>
  <Paragraphs>29</Paragraphs>
  <TotalTime>1</TotalTime>
  <ScaleCrop>false</ScaleCrop>
  <LinksUpToDate>false</LinksUpToDate>
  <CharactersWithSpaces>11745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2025-04-17T07:45:00Z</dcterms:created>
  <dc:creator>Administrator.MM-202203241122</dc:creator>
  <cp:lastModifiedBy>小陈Clam</cp:lastModifiedBy>
  <dcterms:modified xsi:type="dcterms:W3CDTF">2025-04-27T07:50:04Z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5C429AF4D8204CFEB1BAB97127C8DC39_13</vt:lpwstr>
  </property>
</Properties>
</file>