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3853"/>
      <w:bookmarkStart w:id="2" w:name="_Toc19115519"/>
      <w:r>
        <w:rPr>
          <w:rFonts w:hint="eastAsia" w:hAnsi="宋体" w:cs="宋体"/>
          <w:b/>
          <w:sz w:val="40"/>
          <w:szCs w:val="40"/>
          <w:highlight w:val="none"/>
        </w:rPr>
        <w:t>项目名称：</w:t>
      </w:r>
      <w:bookmarkEnd w:id="1"/>
      <w:bookmarkEnd w:id="2"/>
      <w:bookmarkStart w:id="3" w:name="OLE_LINK3"/>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lang w:val="en-US" w:eastAsia="zh-CN"/>
        </w:rPr>
        <w:t>监护仪、种植动度测量仪、超声骨刀、种植机等1批医疗设备采购</w:t>
      </w:r>
      <w:bookmarkEnd w:id="3"/>
      <w:r>
        <w:rPr>
          <w:rFonts w:hint="eastAsia" w:hAnsi="宋体" w:cs="宋体"/>
          <w:b/>
          <w:sz w:val="40"/>
          <w:szCs w:val="40"/>
          <w:highlight w:val="none"/>
          <w:lang w:val="en-US" w:eastAsia="zh-CN"/>
        </w:rPr>
        <w:t>（第二次）</w:t>
      </w:r>
    </w:p>
    <w:p>
      <w:pPr>
        <w:spacing w:line="360" w:lineRule="auto"/>
        <w:ind w:firstLine="1273" w:firstLineChars="317"/>
        <w:jc w:val="left"/>
        <w:rPr>
          <w:rFonts w:hAnsi="宋体" w:cs="宋体"/>
          <w:b/>
          <w:sz w:val="40"/>
          <w:szCs w:val="40"/>
          <w:highlight w:val="none"/>
        </w:rPr>
      </w:pPr>
      <w:bookmarkStart w:id="4" w:name="_Toc19115520"/>
      <w:bookmarkStart w:id="5"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5016</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4"/>
      <w:bookmarkEnd w:id="5"/>
    </w:p>
    <w:p>
      <w:pPr>
        <w:spacing w:line="360" w:lineRule="auto"/>
        <w:jc w:val="center"/>
        <w:rPr>
          <w:rFonts w:hint="eastAsia" w:hAnsi="宋体" w:cs="宋体"/>
          <w:b/>
          <w:sz w:val="40"/>
          <w:szCs w:val="40"/>
          <w:highlight w:val="none"/>
        </w:rPr>
      </w:pPr>
      <w:bookmarkStart w:id="6" w:name="_Toc19115521"/>
    </w:p>
    <w:p>
      <w:pPr>
        <w:spacing w:line="360" w:lineRule="auto"/>
        <w:jc w:val="center"/>
        <w:rPr>
          <w:highlight w:val="none"/>
        </w:rPr>
      </w:pPr>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四</w:t>
      </w:r>
      <w:r>
        <w:rPr>
          <w:rFonts w:hint="eastAsia" w:hAnsi="宋体" w:cs="宋体"/>
          <w:b/>
          <w:sz w:val="40"/>
          <w:szCs w:val="40"/>
          <w:highlight w:val="none"/>
        </w:rPr>
        <w:t>月</w:t>
      </w:r>
      <w:bookmarkEnd w:id="6"/>
      <w:r>
        <w:rPr>
          <w:rFonts w:hint="eastAsia" w:hAnsi="宋体" w:cs="宋体"/>
          <w:sz w:val="24"/>
          <w:szCs w:val="24"/>
          <w:highlight w:val="none"/>
        </w:rPr>
        <w:br w:type="page"/>
      </w:r>
      <w:bookmarkStart w:id="7"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4"/>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4"/>
          <w:rFonts w:hint="eastAsia" w:ascii="宋体" w:hAnsi="宋体" w:cs="宋体"/>
          <w:highlight w:val="none"/>
        </w:rPr>
        <w:t>一、</w:t>
      </w:r>
      <w:r>
        <w:rPr>
          <w:rStyle w:val="14"/>
          <w:rFonts w:hint="eastAsia" w:ascii="宋体" w:hAnsi="宋体" w:cs="宋体"/>
          <w:highlight w:val="none"/>
          <w:lang w:eastAsia="zh-CN"/>
        </w:rPr>
        <w:t>采购项目</w:t>
      </w:r>
      <w:r>
        <w:rPr>
          <w:rStyle w:val="14"/>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4"/>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4"/>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4"/>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4"/>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4"/>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4"/>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4"/>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4"/>
          <w:rFonts w:hint="eastAsia"/>
          <w:highlight w:val="none"/>
        </w:rPr>
        <w:t>一、</w:t>
      </w:r>
      <w:r>
        <w:rPr>
          <w:rStyle w:val="14"/>
          <w:rFonts w:hint="eastAsia"/>
          <w:highlight w:val="none"/>
          <w:lang w:eastAsia="zh-CN"/>
        </w:rPr>
        <w:t>采购项目</w:t>
      </w:r>
      <w:r>
        <w:rPr>
          <w:rStyle w:val="14"/>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4"/>
          <w:rFonts w:hint="eastAsia"/>
          <w:highlight w:val="none"/>
        </w:rPr>
        <w:t>二、</w:t>
      </w:r>
      <w:r>
        <w:rPr>
          <w:rStyle w:val="14"/>
          <w:rFonts w:hint="eastAsia"/>
          <w:highlight w:val="none"/>
          <w:lang w:eastAsia="zh-CN"/>
        </w:rPr>
        <w:t>采购项目</w:t>
      </w:r>
      <w:r>
        <w:rPr>
          <w:rStyle w:val="14"/>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4"/>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4"/>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4"/>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4"/>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4"/>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4"/>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4"/>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4"/>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4"/>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4"/>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4"/>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4"/>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4"/>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4"/>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4"/>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4"/>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4"/>
          <w:rFonts w:hint="eastAsia"/>
          <w:highlight w:val="none"/>
        </w:rPr>
        <w:t>二、</w:t>
      </w:r>
      <w:r>
        <w:rPr>
          <w:rStyle w:val="14"/>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4"/>
          <w:rFonts w:hint="eastAsia"/>
          <w:highlight w:val="none"/>
        </w:rPr>
        <w:t>三、</w:t>
      </w:r>
      <w:r>
        <w:rPr>
          <w:rStyle w:val="14"/>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4"/>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4"/>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4"/>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4"/>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4"/>
          <w:rFonts w:hint="eastAsia" w:hAnsi="宋体" w:cs="宋体"/>
          <w:highlight w:val="none"/>
        </w:rPr>
        <w:t>第六篇</w:t>
      </w:r>
      <w:r>
        <w:rPr>
          <w:rStyle w:val="14"/>
          <w:rFonts w:hint="eastAsia" w:hAnsi="宋体" w:cs="宋体"/>
          <w:highlight w:val="none"/>
          <w:lang w:eastAsia="zh-CN"/>
        </w:rPr>
        <w:t>响应文件</w:t>
      </w:r>
      <w:r>
        <w:rPr>
          <w:rStyle w:val="14"/>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4"/>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4"/>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4"/>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4"/>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4"/>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pPr>
        <w:pStyle w:val="2"/>
        <w:rPr>
          <w:highlight w:val="none"/>
        </w:rPr>
      </w:pPr>
      <w:r>
        <w:rPr>
          <w:rFonts w:hint="eastAsia"/>
          <w:sz w:val="28"/>
          <w:szCs w:val="28"/>
          <w:highlight w:val="none"/>
        </w:rPr>
        <w:fldChar w:fldCharType="end"/>
      </w:r>
      <w:r>
        <w:rPr>
          <w:rFonts w:hint="eastAsia"/>
          <w:sz w:val="28"/>
          <w:szCs w:val="28"/>
          <w:highlight w:val="none"/>
        </w:rPr>
        <w:br w:type="page"/>
      </w:r>
      <w:bookmarkStart w:id="8" w:name="_Toc98942871"/>
      <w:r>
        <w:rPr>
          <w:rFonts w:hint="eastAsia"/>
          <w:highlight w:val="none"/>
        </w:rPr>
        <w:t>第一篇 投标邀请书</w:t>
      </w:r>
      <w:bookmarkEnd w:id="7"/>
      <w:bookmarkEnd w:id="8"/>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监护仪、种植动度测量仪、超声骨刀、种植机等1批医疗设备采购</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3"/>
        <w:spacing w:line="360" w:lineRule="auto"/>
        <w:rPr>
          <w:rFonts w:ascii="宋体" w:hAnsi="宋体" w:cs="宋体"/>
          <w:kern w:val="0"/>
          <w:szCs w:val="28"/>
          <w:highlight w:val="none"/>
        </w:rPr>
      </w:pPr>
      <w:bookmarkStart w:id="9" w:name="_Toc98942872"/>
      <w:r>
        <w:rPr>
          <w:rFonts w:hint="eastAsia" w:ascii="宋体" w:hAnsi="宋体" w:cs="宋体"/>
          <w:bCs w:val="0"/>
          <w:kern w:val="0"/>
          <w:szCs w:val="28"/>
          <w:highlight w:val="none"/>
        </w:rPr>
        <w:t>一、项目内容</w:t>
      </w:r>
      <w:bookmarkEnd w:id="9"/>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int="eastAsia" w:hAnsi="宋体" w:eastAsia="宋体" w:cs="宋体"/>
                <w:b/>
                <w:bCs/>
                <w:sz w:val="24"/>
                <w:szCs w:val="24"/>
                <w:highlight w:val="none"/>
                <w:lang w:eastAsia="zh-CN"/>
              </w:rPr>
            </w:pPr>
            <w:r>
              <w:rPr>
                <w:rFonts w:hint="eastAsia" w:hAnsi="宋体" w:cs="宋体"/>
                <w:b/>
                <w:bCs/>
                <w:sz w:val="24"/>
                <w:szCs w:val="24"/>
                <w:highlight w:val="none"/>
                <w:lang w:eastAsia="zh-CN"/>
              </w:rPr>
              <w:t>分包号及名称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p>
            <w:pPr>
              <w:jc w:val="center"/>
              <w:rPr>
                <w:rFonts w:hAnsi="宋体" w:cs="宋体"/>
                <w:b/>
                <w:bCs/>
                <w:sz w:val="24"/>
                <w:szCs w:val="24"/>
                <w:highlight w:val="none"/>
              </w:rPr>
            </w:pPr>
            <w:r>
              <w:rPr>
                <w:rFonts w:hint="eastAsia" w:hAnsi="宋体" w:cs="宋体"/>
                <w:b/>
                <w:bCs/>
                <w:sz w:val="24"/>
                <w:szCs w:val="24"/>
                <w:highlight w:val="none"/>
              </w:rPr>
              <w:t>（万元）</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cs="宋体"/>
                <w:sz w:val="24"/>
                <w:szCs w:val="24"/>
                <w:highlight w:val="none"/>
              </w:rPr>
            </w:pPr>
            <w:r>
              <w:rPr>
                <w:rFonts w:hint="eastAsia" w:hAnsi="宋体" w:cs="宋体"/>
                <w:sz w:val="24"/>
                <w:szCs w:val="24"/>
                <w:highlight w:val="none"/>
                <w:lang w:val="en-US" w:eastAsia="zh-CN"/>
              </w:rPr>
              <w:t>包3：种植动度测量仪</w:t>
            </w:r>
          </w:p>
        </w:tc>
        <w:tc>
          <w:tcPr>
            <w:tcW w:w="1890" w:type="dxa"/>
            <w:vAlign w:val="center"/>
          </w:tcPr>
          <w:p>
            <w:pPr>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1</w:t>
            </w:r>
          </w:p>
        </w:tc>
        <w:tc>
          <w:tcPr>
            <w:tcW w:w="1485"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8.4</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rStyle w:val="15"/>
          <w:rFonts w:hint="eastAsia"/>
          <w:highlight w:val="none"/>
        </w:rPr>
      </w:pPr>
      <w:bookmarkStart w:id="10" w:name="_Toc98942873"/>
    </w:p>
    <w:p>
      <w:pPr>
        <w:rPr>
          <w:rStyle w:val="15"/>
          <w:rFonts w:hint="eastAsia"/>
          <w:highlight w:val="none"/>
        </w:rPr>
      </w:pPr>
    </w:p>
    <w:p>
      <w:pPr>
        <w:rPr>
          <w:sz w:val="28"/>
          <w:szCs w:val="28"/>
          <w:highlight w:val="none"/>
        </w:rPr>
      </w:pPr>
      <w:r>
        <w:rPr>
          <w:rStyle w:val="15"/>
          <w:rFonts w:hint="eastAsia"/>
          <w:highlight w:val="none"/>
        </w:rPr>
        <w:t>二、资金来源</w:t>
      </w:r>
      <w:bookmarkEnd w:id="10"/>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1" w:name="_Toc98942874"/>
      <w:r>
        <w:rPr>
          <w:rStyle w:val="15"/>
          <w:rFonts w:hint="eastAsia"/>
          <w:szCs w:val="28"/>
          <w:highlight w:val="none"/>
        </w:rPr>
        <w:t>三、采购方式</w:t>
      </w:r>
      <w:bookmarkEnd w:id="11"/>
      <w:r>
        <w:rPr>
          <w:rFonts w:hint="eastAsia"/>
          <w:sz w:val="28"/>
          <w:szCs w:val="28"/>
          <w:highlight w:val="none"/>
        </w:rPr>
        <w:t>：院内</w:t>
      </w:r>
      <w:r>
        <w:rPr>
          <w:rFonts w:hint="eastAsia"/>
          <w:sz w:val="28"/>
          <w:szCs w:val="28"/>
          <w:highlight w:val="none"/>
          <w:lang w:eastAsia="zh-CN"/>
        </w:rPr>
        <w:t>竞争性比选</w:t>
      </w:r>
    </w:p>
    <w:p>
      <w:pPr>
        <w:pStyle w:val="3"/>
        <w:rPr>
          <w:highlight w:val="none"/>
        </w:rPr>
      </w:pPr>
      <w:bookmarkStart w:id="12" w:name="_Toc98942875"/>
      <w:r>
        <w:rPr>
          <w:rFonts w:hint="eastAsia"/>
          <w:highlight w:val="none"/>
        </w:rPr>
        <w:t>四、投标人资格要求</w:t>
      </w:r>
      <w:bookmarkEnd w:id="12"/>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bookmarkStart w:id="13" w:name="_Toc98942876"/>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投标产品应具有《中华人民共和国医疗器械注册证》（提供注册证复印件）；</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若不是所投产品的制造商，投标人应具备《医疗器械经营许可证》</w:t>
      </w:r>
      <w:r>
        <w:rPr>
          <w:rFonts w:hint="eastAsia" w:hAnsi="宋体" w:cs="宋体"/>
          <w:color w:val="000000" w:themeColor="text1"/>
          <w:sz w:val="24"/>
          <w:szCs w:val="24"/>
          <w:highlight w:val="none"/>
          <w:lang w:val="en-US" w:eastAsia="zh-CN"/>
          <w14:textFill>
            <w14:solidFill>
              <w14:schemeClr w14:val="tx1"/>
            </w14:solidFill>
          </w14:textFill>
        </w:rPr>
        <w:t>或《备案证》</w:t>
      </w:r>
      <w:r>
        <w:rPr>
          <w:rFonts w:hint="eastAsia" w:hAnsi="宋体" w:cs="宋体"/>
          <w:color w:val="000000" w:themeColor="text1"/>
          <w:sz w:val="24"/>
          <w:szCs w:val="24"/>
          <w:highlight w:val="none"/>
          <w14:textFill>
            <w14:solidFill>
              <w14:schemeClr w14:val="tx1"/>
            </w14:solidFill>
          </w14:textFill>
        </w:rPr>
        <w:t>（提供证书复印件）；</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若不是所投产品的制造商，投标人应提供在有效期内的授权书。</w:t>
      </w:r>
    </w:p>
    <w:p>
      <w:pPr>
        <w:spacing w:line="360" w:lineRule="auto"/>
        <w:rPr>
          <w:highlight w:val="none"/>
        </w:rPr>
      </w:pPr>
      <w:r>
        <w:rPr>
          <w:rFonts w:hint="eastAsia"/>
          <w:highlight w:val="none"/>
        </w:rPr>
        <w:t>五、</w:t>
      </w:r>
      <w:r>
        <w:rPr>
          <w:rFonts w:hint="eastAsia"/>
          <w:highlight w:val="none"/>
          <w:lang w:eastAsia="zh-CN"/>
        </w:rPr>
        <w:t>比选文件</w:t>
      </w:r>
      <w:r>
        <w:rPr>
          <w:rFonts w:hint="eastAsia"/>
          <w:highlight w:val="none"/>
        </w:rPr>
        <w:t>获取及投标时间要求</w:t>
      </w:r>
      <w:bookmarkEnd w:id="13"/>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11</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17</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11</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17</w:t>
      </w:r>
      <w:r>
        <w:rPr>
          <w:rFonts w:hint="eastAsia" w:hAnsi="宋体" w:cs="宋体"/>
          <w:sz w:val="24"/>
          <w:szCs w:val="24"/>
          <w:highlight w:val="none"/>
        </w:rPr>
        <w:t>日17:30(工作时间)递交到重庆医科大学附属口腔医院(重庆渝北区松石北路426号)综合楼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 xml:space="preserve">老师 </w:t>
      </w:r>
      <w:r>
        <w:rPr>
          <w:rFonts w:hint="eastAsia" w:hAnsi="宋体" w:cs="宋体"/>
          <w:sz w:val="24"/>
          <w:szCs w:val="24"/>
          <w:highlight w:val="none"/>
        </w:rPr>
        <w:t>88602318</w:t>
      </w:r>
      <w:r>
        <w:rPr>
          <w:rFonts w:hint="eastAsia" w:hAnsi="宋体" w:cs="宋体"/>
          <w:sz w:val="24"/>
          <w:szCs w:val="24"/>
          <w:highlight w:val="none"/>
        </w:rPr>
        <w:t>）。逾期送达的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rPr>
        <w:t>投标人无须参加</w:t>
      </w:r>
      <w:r>
        <w:rPr>
          <w:rFonts w:hint="eastAsia" w:hAnsi="宋体" w:cs="宋体"/>
          <w:sz w:val="24"/>
          <w:szCs w:val="24"/>
          <w:highlight w:val="none"/>
        </w:rPr>
        <w:t>。</w:t>
      </w:r>
    </w:p>
    <w:p>
      <w:pPr>
        <w:pStyle w:val="3"/>
        <w:rPr>
          <w:highlight w:val="none"/>
        </w:rPr>
      </w:pPr>
      <w:bookmarkStart w:id="14" w:name="_Toc98942877"/>
      <w:bookmarkStart w:id="15" w:name="_Toc60133133"/>
      <w:r>
        <w:rPr>
          <w:rFonts w:hint="eastAsia"/>
          <w:highlight w:val="none"/>
        </w:rPr>
        <w:t>六、其它有关规定</w:t>
      </w:r>
      <w:bookmarkEnd w:id="14"/>
      <w:bookmarkEnd w:id="15"/>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6" w:name="OLE_LINK1"/>
      <w:bookmarkStart w:id="17" w:name="OLE_LINK2"/>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highlight w:val="none"/>
        </w:rPr>
        <w:t>供应商，将拒绝其参与政府采购活动。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3"/>
        <w:rPr>
          <w:highlight w:val="none"/>
        </w:rPr>
      </w:pPr>
      <w:bookmarkStart w:id="18" w:name="_Toc98942878"/>
      <w:r>
        <w:rPr>
          <w:rFonts w:hint="eastAsia"/>
          <w:highlight w:val="none"/>
        </w:rPr>
        <w:t>七、联系方式</w:t>
      </w:r>
      <w:bookmarkEnd w:id="18"/>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w:t>
      </w:r>
      <w:r>
        <w:rPr>
          <w:rFonts w:hint="eastAsia" w:hAnsi="宋体" w:cs="宋体"/>
          <w:sz w:val="24"/>
          <w:szCs w:val="24"/>
          <w:highlight w:val="none"/>
        </w:rPr>
        <w:t>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2"/>
        <w:spacing w:line="360" w:lineRule="auto"/>
        <w:rPr>
          <w:rFonts w:ascii="宋体" w:hAnsi="宋体" w:eastAsia="宋体" w:cs="宋体"/>
          <w:highlight w:val="none"/>
        </w:rPr>
      </w:pPr>
      <w:bookmarkStart w:id="19" w:name="_Toc98942879"/>
      <w:bookmarkStart w:id="20" w:name="_Toc19113857"/>
      <w:r>
        <w:rPr>
          <w:rFonts w:hint="eastAsia" w:ascii="宋体" w:hAnsi="宋体" w:eastAsia="宋体" w:cs="宋体"/>
          <w:highlight w:val="none"/>
        </w:rPr>
        <w:t>第二篇 项目技术要求</w:t>
      </w:r>
      <w:bookmarkEnd w:id="19"/>
      <w:bookmarkEnd w:id="20"/>
    </w:p>
    <w:p>
      <w:pPr>
        <w:pStyle w:val="3"/>
        <w:rPr>
          <w:highlight w:val="none"/>
        </w:rPr>
      </w:pPr>
      <w:bookmarkStart w:id="21" w:name="_Toc98942880"/>
      <w:r>
        <w:rPr>
          <w:rFonts w:hint="eastAsia"/>
          <w:highlight w:val="none"/>
        </w:rPr>
        <w:t>一、</w:t>
      </w:r>
      <w:r>
        <w:rPr>
          <w:rFonts w:hint="eastAsia"/>
          <w:highlight w:val="none"/>
          <w:lang w:eastAsia="zh-CN"/>
        </w:rPr>
        <w:t>采购</w:t>
      </w:r>
      <w:r>
        <w:rPr>
          <w:rFonts w:hint="eastAsia"/>
          <w:highlight w:val="none"/>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b/>
                <w:sz w:val="21"/>
                <w:szCs w:val="21"/>
                <w:highlight w:val="none"/>
                <w:lang w:eastAsia="zh-CN"/>
              </w:rPr>
            </w:pPr>
            <w:r>
              <w:rPr>
                <w:rFonts w:hint="eastAsia" w:ascii="方正仿宋_GBK" w:hAnsi="宋体" w:eastAsia="方正仿宋_GBK"/>
                <w:b/>
                <w:sz w:val="21"/>
                <w:szCs w:val="21"/>
                <w:highlight w:val="none"/>
                <w:lang w:eastAsia="zh-CN"/>
              </w:rPr>
              <w:t>分包号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3</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hAnsi="宋体" w:cs="宋体"/>
                <w:sz w:val="24"/>
                <w:szCs w:val="24"/>
                <w:highlight w:val="none"/>
                <w:lang w:val="en-US" w:eastAsia="zh-CN"/>
              </w:rPr>
              <w:t>种植动度测量仪</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4"/>
                <w:szCs w:val="24"/>
                <w:highlight w:val="none"/>
                <w:lang w:val="en-US" w:eastAsia="zh-CN"/>
              </w:rPr>
            </w:pPr>
            <w:r>
              <w:rPr>
                <w:rFonts w:hint="eastAsia" w:hAnsi="宋体" w:cs="宋体"/>
                <w:sz w:val="24"/>
                <w:szCs w:val="24"/>
                <w:highlight w:val="none"/>
                <w:lang w:val="en-US" w:eastAsia="zh-CN"/>
              </w:rPr>
              <w:t>3套</w:t>
            </w:r>
          </w:p>
        </w:tc>
      </w:tr>
    </w:tbl>
    <w:p>
      <w:pPr>
        <w:rPr>
          <w:highlight w:val="none"/>
        </w:rPr>
      </w:pPr>
    </w:p>
    <w:p>
      <w:pPr>
        <w:pStyle w:val="3"/>
        <w:rPr>
          <w:highlight w:val="none"/>
        </w:rPr>
      </w:pPr>
      <w:bookmarkStart w:id="22" w:name="_Toc98942881"/>
      <w:r>
        <w:rPr>
          <w:rFonts w:hint="eastAsia"/>
          <w:highlight w:val="none"/>
        </w:rPr>
        <w:t>二、</w:t>
      </w:r>
      <w:r>
        <w:rPr>
          <w:rFonts w:hint="eastAsia"/>
          <w:highlight w:val="none"/>
          <w:lang w:eastAsia="zh-CN"/>
        </w:rPr>
        <w:t>采购</w:t>
      </w:r>
      <w:r>
        <w:rPr>
          <w:rFonts w:hint="eastAsia"/>
          <w:highlight w:val="none"/>
        </w:rPr>
        <w:t>项目技术要求</w:t>
      </w:r>
      <w:bookmarkEnd w:id="22"/>
    </w:p>
    <w:p>
      <w:pPr>
        <w:ind w:firstLine="424" w:firstLineChars="177"/>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1.“★”标注的技术需求为符合性审查中的实质性要求，</w:t>
      </w:r>
      <w:r>
        <w:rPr>
          <w:rFonts w:hint="eastAsia" w:ascii="仿宋_GB2312" w:hAnsi="仿宋_GB2312" w:eastAsia="仿宋_GB2312" w:cs="仿宋_GB2312"/>
          <w:sz w:val="24"/>
          <w:szCs w:val="28"/>
          <w:highlight w:val="none"/>
          <w:lang w:eastAsia="zh-CN"/>
        </w:rPr>
        <w:t>响应文件</w:t>
      </w:r>
      <w:r>
        <w:rPr>
          <w:rFonts w:hint="eastAsia" w:ascii="仿宋_GB2312" w:hAnsi="仿宋_GB2312" w:eastAsia="仿宋_GB2312" w:cs="仿宋_GB2312"/>
          <w:sz w:val="24"/>
          <w:szCs w:val="28"/>
          <w:highlight w:val="none"/>
        </w:rPr>
        <w:t>若不满足按无效投标处理；</w:t>
      </w:r>
    </w:p>
    <w:p>
      <w:pPr>
        <w:ind w:firstLine="424" w:firstLineChars="177"/>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2.“*”标注的技术需求为重要技术需求，若不满足将按照评标因素中相关规定处理；</w:t>
      </w:r>
    </w:p>
    <w:p>
      <w:pPr>
        <w:ind w:firstLine="424" w:firstLineChars="177"/>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3.应答要求有规定的须提供相应支撑材料，须按规定提供且注明投标书对应页码；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FF0000"/>
          <w:sz w:val="24"/>
          <w:szCs w:val="24"/>
          <w:highlight w:val="none"/>
          <w:lang w:eastAsia="zh-CN"/>
        </w:rPr>
      </w:pPr>
      <w:bookmarkStart w:id="23" w:name="_Toc98942882"/>
      <w:bookmarkStart w:id="24" w:name="_Toc19113858"/>
      <w:bookmarkStart w:id="25" w:name="_Toc267320049"/>
      <w:r>
        <w:rPr>
          <w:rFonts w:hint="eastAsia"/>
          <w:b/>
          <w:bCs/>
          <w:color w:val="FF0000"/>
          <w:sz w:val="24"/>
          <w:szCs w:val="24"/>
          <w:highlight w:val="none"/>
          <w:lang w:eastAsia="zh-CN"/>
        </w:rPr>
        <w:t>包</w:t>
      </w:r>
      <w:r>
        <w:rPr>
          <w:rFonts w:hint="eastAsia"/>
          <w:b/>
          <w:bCs/>
          <w:color w:val="FF0000"/>
          <w:sz w:val="24"/>
          <w:szCs w:val="24"/>
          <w:highlight w:val="none"/>
          <w:lang w:val="en-US" w:eastAsia="zh-CN"/>
        </w:rPr>
        <w:t>3：</w:t>
      </w:r>
      <w:r>
        <w:rPr>
          <w:rFonts w:hint="eastAsia"/>
          <w:b/>
          <w:bCs/>
          <w:color w:val="FF0000"/>
          <w:sz w:val="24"/>
          <w:szCs w:val="24"/>
          <w:highlight w:val="none"/>
          <w:lang w:eastAsia="zh-CN"/>
        </w:rPr>
        <w:t>种植动度测量仪（</w:t>
      </w:r>
      <w:r>
        <w:rPr>
          <w:rFonts w:hint="eastAsia"/>
          <w:b/>
          <w:bCs/>
          <w:color w:val="FF0000"/>
          <w:sz w:val="24"/>
          <w:szCs w:val="24"/>
          <w:highlight w:val="none"/>
          <w:lang w:val="en-US" w:eastAsia="zh-CN"/>
        </w:rPr>
        <w:t>3套</w:t>
      </w:r>
      <w:r>
        <w:rPr>
          <w:rFonts w:hint="eastAsia"/>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highlight w:val="none"/>
          <w:lang w:eastAsia="zh-CN"/>
        </w:rPr>
      </w:pPr>
      <w:r>
        <w:rPr>
          <w:rFonts w:hint="eastAsia"/>
          <w:sz w:val="24"/>
          <w:szCs w:val="24"/>
          <w:highlight w:val="none"/>
          <w:lang w:eastAsia="zh-CN"/>
        </w:rPr>
        <w:t>*1.基本要求（产品临床用途）：用于口腔及颅内区域测量种植体及基台的稳固度</w:t>
      </w:r>
      <w:r>
        <w:rPr>
          <w:rFonts w:hint="eastAsia"/>
          <w:sz w:val="24"/>
          <w:szCs w:val="24"/>
          <w:highlight w:val="none"/>
          <w:lang w:eastAsia="zh-CN"/>
        </w:rPr>
        <w:br w:type="textWrapping"/>
      </w:r>
      <w:r>
        <w:rPr>
          <w:rFonts w:hint="eastAsia"/>
          <w:sz w:val="24"/>
          <w:szCs w:val="24"/>
          <w:highlight w:val="none"/>
          <w:lang w:eastAsia="zh-CN"/>
        </w:rPr>
        <w:t>★2.工作方式：检测仪是将配套的感应器附着在种植体或种植体基台上。通过手持式检测仪上的测量探针头部产生的磁性脉冲波来激活感应器。感应器会产生特有频率，根据频率的不同来分析种植体在骨组织里的稳固程度。</w:t>
      </w:r>
      <w:r>
        <w:rPr>
          <w:rFonts w:hint="eastAsia"/>
          <w:sz w:val="24"/>
          <w:szCs w:val="24"/>
          <w:highlight w:val="none"/>
          <w:lang w:eastAsia="zh-CN"/>
        </w:rPr>
        <w:br w:type="textWrapping"/>
      </w:r>
      <w:r>
        <w:rPr>
          <w:rFonts w:hint="eastAsia"/>
          <w:sz w:val="24"/>
          <w:szCs w:val="24"/>
          <w:highlight w:val="none"/>
          <w:lang w:eastAsia="zh-CN"/>
        </w:rPr>
        <w:t>3.结果显示：共振频率的结果转换成1~100的数值显示在测量仪屏幕上。</w:t>
      </w:r>
      <w:r>
        <w:rPr>
          <w:rFonts w:hint="eastAsia"/>
          <w:sz w:val="24"/>
          <w:szCs w:val="24"/>
          <w:highlight w:val="none"/>
          <w:lang w:eastAsia="zh-CN"/>
        </w:rPr>
        <w:br w:type="textWrapping"/>
      </w:r>
      <w:r>
        <w:rPr>
          <w:rFonts w:hint="eastAsia"/>
          <w:sz w:val="24"/>
          <w:szCs w:val="24"/>
          <w:highlight w:val="none"/>
          <w:lang w:eastAsia="zh-CN"/>
        </w:rPr>
        <w:t>4.结果显示提示：LED灯颜色显示高稳定性、中稳定性、低稳定性。</w:t>
      </w:r>
      <w:r>
        <w:rPr>
          <w:rFonts w:hint="eastAsia"/>
          <w:sz w:val="24"/>
          <w:szCs w:val="24"/>
          <w:highlight w:val="none"/>
          <w:lang w:eastAsia="zh-CN"/>
        </w:rPr>
        <w:br w:type="textWrapping"/>
      </w:r>
      <w:r>
        <w:rPr>
          <w:rFonts w:hint="eastAsia"/>
          <w:sz w:val="24"/>
          <w:szCs w:val="24"/>
          <w:highlight w:val="none"/>
          <w:lang w:eastAsia="zh-CN"/>
        </w:rPr>
        <w:t>*5.准确度：一个单独感应器的ISQ准确度≤±0.5ISQ单位。在不同的感应器之间，包含附属扭矩的变异和个体变异，其准确度在≤±2ISQ单位。</w:t>
      </w:r>
      <w:r>
        <w:rPr>
          <w:rFonts w:hint="eastAsia"/>
          <w:sz w:val="24"/>
          <w:szCs w:val="24"/>
          <w:highlight w:val="none"/>
          <w:lang w:eastAsia="zh-CN"/>
        </w:rPr>
        <w:br w:type="textWrapping"/>
      </w:r>
      <w:r>
        <w:rPr>
          <w:rFonts w:hint="eastAsia"/>
          <w:sz w:val="24"/>
          <w:szCs w:val="24"/>
          <w:highlight w:val="none"/>
          <w:lang w:eastAsia="zh-CN"/>
        </w:rPr>
        <w:t>6.电池：锂电池</w:t>
      </w:r>
      <w:r>
        <w:rPr>
          <w:rFonts w:hint="eastAsia"/>
          <w:sz w:val="24"/>
          <w:szCs w:val="24"/>
          <w:highlight w:val="none"/>
          <w:lang w:eastAsia="zh-CN"/>
        </w:rPr>
        <w:br w:type="textWrapping"/>
      </w:r>
      <w:r>
        <w:rPr>
          <w:rFonts w:hint="eastAsia"/>
          <w:sz w:val="24"/>
          <w:szCs w:val="24"/>
          <w:highlight w:val="none"/>
          <w:lang w:eastAsia="zh-CN"/>
        </w:rPr>
        <w:t>7.耗材：设备使用过程中，所需耗材单独报价</w:t>
      </w:r>
      <w:r>
        <w:rPr>
          <w:rFonts w:hint="eastAsia"/>
          <w:sz w:val="24"/>
          <w:szCs w:val="24"/>
          <w:highlight w:val="none"/>
          <w:lang w:eastAsia="zh-CN"/>
        </w:rPr>
        <w:br w:type="textWrapping"/>
      </w:r>
      <w:r>
        <w:rPr>
          <w:rFonts w:hint="eastAsia"/>
          <w:sz w:val="24"/>
          <w:szCs w:val="24"/>
          <w:highlight w:val="none"/>
          <w:lang w:eastAsia="zh-CN"/>
        </w:rPr>
        <w:t>8.配置要求：主机1，扳手1，测试柱1，数据线1，蓝牙1，及其他标配附件</w:t>
      </w:r>
      <w:r>
        <w:rPr>
          <w:rFonts w:hint="eastAsia"/>
          <w:sz w:val="24"/>
          <w:szCs w:val="24"/>
          <w:highlight w:val="none"/>
          <w:lang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highlight w:val="none"/>
          <w:lang w:eastAsia="zh-CN"/>
        </w:rPr>
      </w:pPr>
    </w:p>
    <w:p>
      <w:pPr>
        <w:rPr>
          <w:rFonts w:hint="eastAsia" w:ascii="宋体" w:hAnsi="宋体" w:eastAsia="宋体" w:cs="宋体"/>
          <w:highlight w:val="none"/>
        </w:rPr>
      </w:pPr>
      <w:r>
        <w:rPr>
          <w:rFonts w:hint="eastAsia" w:ascii="宋体" w:hAnsi="宋体" w:eastAsia="宋体" w:cs="宋体"/>
          <w:highlight w:val="none"/>
        </w:rPr>
        <w:br w:type="page"/>
      </w:r>
    </w:p>
    <w:p>
      <w:pPr>
        <w:pStyle w:val="2"/>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3"/>
      <w:bookmarkEnd w:id="24"/>
      <w:bookmarkStart w:id="26" w:name="_Toc505608529"/>
    </w:p>
    <w:bookmarkEnd w:id="25"/>
    <w:bookmarkEnd w:id="26"/>
    <w:p>
      <w:pPr>
        <w:snapToGrid w:val="0"/>
        <w:spacing w:line="360" w:lineRule="auto"/>
        <w:rPr>
          <w:sz w:val="24"/>
          <w:highlight w:val="none"/>
        </w:rPr>
      </w:pPr>
      <w:r>
        <w:rPr>
          <w:rFonts w:hint="eastAsia"/>
          <w:sz w:val="24"/>
          <w:highlight w:val="none"/>
        </w:rPr>
        <w:t>“</w:t>
      </w:r>
      <w:r>
        <w:rPr>
          <w:rFonts w:hint="eastAsia"/>
          <w:sz w:val="24"/>
          <w:highlight w:val="none"/>
          <w:lang w:eastAsia="zh-CN"/>
        </w:rPr>
        <w:t>★</w:t>
      </w:r>
      <w:r>
        <w:rPr>
          <w:rFonts w:hint="eastAsia"/>
          <w:sz w:val="24"/>
          <w:highlight w:val="none"/>
        </w:rPr>
        <w:t>”标注的商务需求为符合性审查中的实质性要求，</w:t>
      </w:r>
      <w:r>
        <w:rPr>
          <w:rFonts w:hint="eastAsia"/>
          <w:sz w:val="24"/>
          <w:highlight w:val="none"/>
          <w:lang w:eastAsia="zh-CN"/>
        </w:rPr>
        <w:t>响应文件</w:t>
      </w:r>
      <w:r>
        <w:rPr>
          <w:rFonts w:hint="eastAsia"/>
          <w:sz w:val="24"/>
          <w:highlight w:val="none"/>
        </w:rPr>
        <w:t>若不满足按无效投标处理</w:t>
      </w:r>
    </w:p>
    <w:p>
      <w:pPr>
        <w:pStyle w:val="3"/>
        <w:spacing w:line="360" w:lineRule="auto"/>
        <w:rPr>
          <w:highlight w:val="none"/>
        </w:rPr>
      </w:pPr>
      <w:bookmarkStart w:id="27" w:name="_Toc98942883"/>
      <w:r>
        <w:rPr>
          <w:rFonts w:hint="eastAsia"/>
          <w:highlight w:val="none"/>
        </w:rPr>
        <w:t>一、交货期、交货地点及验收方式</w:t>
      </w:r>
      <w:bookmarkEnd w:id="27"/>
    </w:p>
    <w:p>
      <w:pPr>
        <w:snapToGrid w:val="0"/>
        <w:spacing w:line="276" w:lineRule="auto"/>
        <w:ind w:firstLine="480" w:firstLineChars="200"/>
        <w:rPr>
          <w:sz w:val="24"/>
          <w:highlight w:val="none"/>
        </w:rPr>
      </w:pPr>
      <w:r>
        <w:rPr>
          <w:rFonts w:hint="eastAsia"/>
          <w:sz w:val="24"/>
          <w:highlight w:val="none"/>
          <w:lang w:eastAsia="zh-CN"/>
        </w:rPr>
        <w:t>★</w:t>
      </w:r>
      <w:r>
        <w:rPr>
          <w:rFonts w:hint="eastAsia"/>
          <w:sz w:val="24"/>
          <w:highlight w:val="none"/>
        </w:rPr>
        <w:t>1.1交货期</w:t>
      </w:r>
    </w:p>
    <w:p>
      <w:pPr>
        <w:snapToGrid w:val="0"/>
        <w:spacing w:line="276" w:lineRule="auto"/>
        <w:ind w:firstLine="480" w:firstLineChars="200"/>
        <w:rPr>
          <w:sz w:val="24"/>
          <w:highlight w:val="none"/>
        </w:rPr>
      </w:pPr>
      <w:r>
        <w:rPr>
          <w:rFonts w:hint="eastAsia"/>
          <w:sz w:val="24"/>
          <w:highlight w:val="none"/>
        </w:rPr>
        <w:t>中标人应在采购合同签订后</w:t>
      </w:r>
      <w:r>
        <w:rPr>
          <w:rFonts w:hint="eastAsia"/>
          <w:sz w:val="24"/>
          <w:highlight w:val="none"/>
          <w:lang w:val="en-US" w:eastAsia="zh-CN"/>
        </w:rPr>
        <w:t>15</w:t>
      </w:r>
      <w:r>
        <w:rPr>
          <w:rFonts w:hint="eastAsia"/>
          <w:sz w:val="24"/>
          <w:highlight w:val="none"/>
        </w:rPr>
        <w:t>个日历日内交货并完成安装调试。由于中标人原因</w:t>
      </w:r>
      <w:r>
        <w:rPr>
          <w:rFonts w:hint="eastAsia" w:hAnsi="宋体"/>
          <w:sz w:val="24"/>
          <w:szCs w:val="24"/>
          <w:highlight w:val="none"/>
        </w:rPr>
        <w:t>每超过1个日历日赔偿采购人合同总额的千分之五延期费。</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276" w:lineRule="auto"/>
        <w:ind w:firstLine="480" w:firstLineChars="200"/>
        <w:rPr>
          <w:sz w:val="24"/>
          <w:highlight w:val="none"/>
        </w:rPr>
      </w:pPr>
      <w:r>
        <w:rPr>
          <w:rFonts w:hint="eastAsia"/>
          <w:sz w:val="24"/>
          <w:highlight w:val="none"/>
        </w:rPr>
        <w:t>1.3验收方式</w:t>
      </w:r>
    </w:p>
    <w:p>
      <w:pPr>
        <w:snapToGrid w:val="0"/>
        <w:spacing w:line="276" w:lineRule="auto"/>
        <w:ind w:firstLine="480" w:firstLineChars="200"/>
        <w:rPr>
          <w:sz w:val="24"/>
          <w:highlight w:val="none"/>
        </w:rPr>
      </w:pPr>
      <w:r>
        <w:rPr>
          <w:rFonts w:hint="eastAsia"/>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sz w:val="24"/>
          <w:highlight w:val="none"/>
        </w:rPr>
      </w:pPr>
      <w:r>
        <w:rPr>
          <w:rFonts w:hint="eastAsia"/>
          <w:sz w:val="24"/>
          <w:highlight w:val="none"/>
        </w:rPr>
        <w:t>1.3.2.中标人应保证货物到达采购人所在地完好无损，如有缺漏、损坏，由投标人负责调换、补齐或赔偿。</w:t>
      </w:r>
    </w:p>
    <w:p>
      <w:pPr>
        <w:snapToGrid w:val="0"/>
        <w:spacing w:line="276" w:lineRule="auto"/>
        <w:ind w:firstLine="480" w:firstLineChars="200"/>
        <w:rPr>
          <w:sz w:val="24"/>
          <w:highlight w:val="none"/>
        </w:rPr>
      </w:pPr>
      <w:r>
        <w:rPr>
          <w:rFonts w:hint="eastAsia"/>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sz w:val="24"/>
          <w:highlight w:val="none"/>
        </w:rPr>
      </w:pPr>
      <w:r>
        <w:rPr>
          <w:rFonts w:hint="eastAsia"/>
          <w:sz w:val="24"/>
          <w:highlight w:val="none"/>
        </w:rPr>
        <w:t>1.3.3.1设备技术参数与采购合同一致，性能指标达到规定的标准。</w:t>
      </w:r>
    </w:p>
    <w:p>
      <w:pPr>
        <w:snapToGrid w:val="0"/>
        <w:spacing w:line="400" w:lineRule="exact"/>
        <w:ind w:firstLine="480" w:firstLineChars="200"/>
        <w:rPr>
          <w:sz w:val="24"/>
          <w:highlight w:val="none"/>
        </w:rPr>
      </w:pPr>
      <w:r>
        <w:rPr>
          <w:rFonts w:hint="eastAsia"/>
          <w:sz w:val="24"/>
          <w:highlight w:val="none"/>
        </w:rPr>
        <w:t>1.3.3.2货物技术资料、装箱单、合格证等资料齐全。</w:t>
      </w:r>
    </w:p>
    <w:p>
      <w:pPr>
        <w:snapToGrid w:val="0"/>
        <w:spacing w:line="400" w:lineRule="exact"/>
        <w:ind w:firstLine="480" w:firstLineChars="200"/>
        <w:rPr>
          <w:sz w:val="24"/>
          <w:highlight w:val="none"/>
        </w:rPr>
      </w:pPr>
      <w:r>
        <w:rPr>
          <w:rFonts w:hint="eastAsia"/>
          <w:sz w:val="24"/>
          <w:highlight w:val="none"/>
        </w:rPr>
        <w:t>1.3.3.3在系统试运行期间所出现的问题得到解决，并运行正常。</w:t>
      </w:r>
    </w:p>
    <w:p>
      <w:pPr>
        <w:snapToGrid w:val="0"/>
        <w:spacing w:line="400" w:lineRule="exact"/>
        <w:ind w:firstLine="480" w:firstLineChars="200"/>
        <w:rPr>
          <w:sz w:val="24"/>
          <w:highlight w:val="none"/>
        </w:rPr>
      </w:pPr>
      <w:r>
        <w:rPr>
          <w:rFonts w:hint="eastAsia"/>
          <w:sz w:val="24"/>
          <w:highlight w:val="none"/>
        </w:rPr>
        <w:t>1.3.3.4在规定时间内完成交货并验收，并经采购人确认。</w:t>
      </w:r>
    </w:p>
    <w:p>
      <w:pPr>
        <w:snapToGrid w:val="0"/>
        <w:spacing w:line="400" w:lineRule="exact"/>
        <w:ind w:firstLine="480" w:firstLineChars="200"/>
        <w:rPr>
          <w:sz w:val="24"/>
          <w:highlight w:val="none"/>
        </w:rPr>
      </w:pPr>
      <w:r>
        <w:rPr>
          <w:rFonts w:hint="eastAsia"/>
          <w:sz w:val="24"/>
          <w:highlight w:val="none"/>
        </w:rPr>
        <w:t>1.4.产品在安装调试并试运行符合要求后，才作为最终验收。</w:t>
      </w:r>
    </w:p>
    <w:p>
      <w:pPr>
        <w:snapToGrid w:val="0"/>
        <w:spacing w:line="400" w:lineRule="exact"/>
        <w:ind w:firstLine="480" w:firstLineChars="200"/>
        <w:rPr>
          <w:sz w:val="24"/>
          <w:highlight w:val="none"/>
        </w:rPr>
      </w:pPr>
      <w:r>
        <w:rPr>
          <w:rFonts w:hint="eastAsia"/>
          <w:sz w:val="24"/>
          <w:highlight w:val="none"/>
        </w:rPr>
        <w:t>1.5.投标人提供的货物未达到</w:t>
      </w:r>
      <w:r>
        <w:rPr>
          <w:rFonts w:hint="eastAsia"/>
          <w:sz w:val="24"/>
          <w:highlight w:val="none"/>
          <w:lang w:eastAsia="zh-CN"/>
        </w:rPr>
        <w:t>竞争性比选文件</w:t>
      </w:r>
      <w:r>
        <w:rPr>
          <w:rFonts w:hint="eastAsia"/>
          <w:sz w:val="24"/>
          <w:highlight w:val="none"/>
        </w:rPr>
        <w:t>规定要求，且对采购人造成损失的，由投标人承担一切责任，并赔偿所造成的损失。</w:t>
      </w:r>
    </w:p>
    <w:p>
      <w:pPr>
        <w:snapToGrid w:val="0"/>
        <w:spacing w:line="400" w:lineRule="exact"/>
        <w:ind w:firstLine="480" w:firstLineChars="200"/>
        <w:rPr>
          <w:sz w:val="24"/>
          <w:highlight w:val="none"/>
        </w:rPr>
      </w:pPr>
      <w:r>
        <w:rPr>
          <w:rFonts w:hint="eastAsia"/>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sz w:val="24"/>
          <w:highlight w:val="none"/>
        </w:rPr>
      </w:pPr>
      <w:r>
        <w:rPr>
          <w:rFonts w:hint="eastAsia"/>
          <w:sz w:val="24"/>
          <w:highlight w:val="none"/>
        </w:rPr>
        <w:t>1.7.产品包装材料由投标方自行处置。</w:t>
      </w:r>
    </w:p>
    <w:p>
      <w:pPr>
        <w:pStyle w:val="3"/>
        <w:rPr>
          <w:highlight w:val="none"/>
        </w:rPr>
      </w:pPr>
      <w:bookmarkStart w:id="28" w:name="_Toc98942884"/>
      <w:bookmarkStart w:id="29" w:name="_Toc505608530"/>
      <w:bookmarkStart w:id="30" w:name="_Toc267320050"/>
      <w:r>
        <w:rPr>
          <w:rFonts w:hint="eastAsia"/>
          <w:highlight w:val="none"/>
        </w:rPr>
        <w:t>二、报价要求</w:t>
      </w:r>
      <w:bookmarkEnd w:id="28"/>
      <w:bookmarkEnd w:id="29"/>
    </w:p>
    <w:p>
      <w:pPr>
        <w:snapToGrid w:val="0"/>
        <w:spacing w:line="360" w:lineRule="auto"/>
        <w:ind w:firstLine="480" w:firstLineChars="200"/>
        <w:rPr>
          <w:rFonts w:hint="eastAsia" w:eastAsia="宋体"/>
          <w:sz w:val="24"/>
          <w:highlight w:val="none"/>
          <w:lang w:eastAsia="zh-CN"/>
        </w:rPr>
      </w:pPr>
      <w:bookmarkStart w:id="31" w:name="_Toc505608531"/>
      <w:r>
        <w:rPr>
          <w:rFonts w:hint="eastAsia"/>
          <w:sz w:val="24"/>
          <w:highlight w:val="none"/>
          <w:lang w:eastAsia="zh-CN"/>
        </w:rPr>
        <w:t>★</w:t>
      </w:r>
      <w:r>
        <w:rPr>
          <w:rFonts w:hint="eastAsia"/>
          <w:sz w:val="24"/>
          <w:highlight w:val="none"/>
        </w:rPr>
        <w:t>2.1.本次报价须为人民币报价，包含：产品价、运输费（含装卸费）、保险费、安装费、调试费、售后服务费、税费、培训费等货到采购人指定地点的所有费用。</w:t>
      </w:r>
      <w:r>
        <w:rPr>
          <w:rFonts w:hint="eastAsia"/>
          <w:sz w:val="24"/>
          <w:highlight w:val="none"/>
          <w:lang w:eastAsia="zh-CN"/>
        </w:rPr>
        <w:t>常用耗材单独报价。</w:t>
      </w:r>
    </w:p>
    <w:p>
      <w:pPr>
        <w:pStyle w:val="3"/>
        <w:rPr>
          <w:highlight w:val="none"/>
        </w:rPr>
      </w:pPr>
      <w:bookmarkStart w:id="32" w:name="_Toc98942885"/>
      <w:r>
        <w:rPr>
          <w:rFonts w:hint="eastAsia"/>
          <w:highlight w:val="none"/>
        </w:rPr>
        <w:t>三、质量保证及售后服务</w:t>
      </w:r>
      <w:bookmarkEnd w:id="30"/>
      <w:bookmarkEnd w:id="31"/>
      <w:bookmarkEnd w:id="32"/>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Ansi="宋体" w:cs="宋体"/>
          <w:sz w:val="24"/>
          <w:szCs w:val="24"/>
          <w:highlight w:val="none"/>
        </w:rPr>
      </w:pPr>
      <w:r>
        <w:rPr>
          <w:rFonts w:hint="eastAsia"/>
          <w:sz w:val="24"/>
          <w:highlight w:val="none"/>
          <w:lang w:eastAsia="zh-CN"/>
        </w:rPr>
        <w:t>★</w:t>
      </w:r>
      <w:r>
        <w:rPr>
          <w:rFonts w:hint="eastAsia"/>
          <w:sz w:val="24"/>
          <w:highlight w:val="none"/>
        </w:rPr>
        <w:t>3.1.</w:t>
      </w:r>
      <w:r>
        <w:rPr>
          <w:rFonts w:hint="eastAsia" w:hAnsi="宋体" w:cs="宋体"/>
          <w:sz w:val="24"/>
          <w:szCs w:val="24"/>
          <w:highlight w:val="none"/>
        </w:rPr>
        <w:t>1.投标人应明确承诺：其投标产品质量保证期</w:t>
      </w:r>
      <w:r>
        <w:rPr>
          <w:rFonts w:hint="eastAsia" w:hAnsi="宋体" w:cs="宋体"/>
          <w:sz w:val="24"/>
          <w:szCs w:val="24"/>
          <w:highlight w:val="none"/>
          <w:lang w:eastAsia="zh-CN"/>
        </w:rPr>
        <w:t>达到</w:t>
      </w:r>
      <w:r>
        <w:rPr>
          <w:rFonts w:hint="eastAsia" w:hAnsi="宋体" w:cs="宋体"/>
          <w:sz w:val="24"/>
          <w:szCs w:val="24"/>
          <w:highlight w:val="none"/>
          <w:u w:val="single"/>
        </w:rPr>
        <w:t xml:space="preserve">  </w:t>
      </w:r>
      <w:r>
        <w:rPr>
          <w:rFonts w:hint="eastAsia" w:hAnsi="宋体" w:cs="宋体"/>
          <w:sz w:val="24"/>
          <w:szCs w:val="24"/>
          <w:highlight w:val="none"/>
          <w:u w:val="single"/>
        </w:rPr>
        <w:t>三</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lang w:eastAsia="zh-CN"/>
        </w:rPr>
        <w:t>耗材及易损件除外</w:t>
      </w:r>
      <w:r>
        <w:rPr>
          <w:rFonts w:hint="eastAsia" w:hAnsi="宋体" w:cs="宋体"/>
          <w:sz w:val="24"/>
          <w:szCs w:val="24"/>
          <w:highlight w:val="none"/>
        </w:rPr>
        <w:t>）。</w:t>
      </w:r>
    </w:p>
    <w:p>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2.投标产品属于国家规定“三包”范围的，其产品质量保证期不得低于“三包”规定。</w:t>
      </w:r>
    </w:p>
    <w:p>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3.投标人的质量保证期承诺优于国家“三包”规定的，按投标人实际承诺执行。</w:t>
      </w:r>
    </w:p>
    <w:p>
      <w:pPr>
        <w:snapToGrid w:val="0"/>
        <w:spacing w:line="360" w:lineRule="auto"/>
        <w:ind w:firstLine="480" w:firstLineChars="200"/>
        <w:rPr>
          <w:rFonts w:hint="eastAsia" w:hAnsi="宋体" w:cs="宋体"/>
          <w:sz w:val="24"/>
          <w:szCs w:val="24"/>
          <w:highlight w:val="none"/>
        </w:rPr>
      </w:pPr>
      <w:r>
        <w:rPr>
          <w:rFonts w:hint="eastAsia"/>
          <w:sz w:val="24"/>
          <w:highlight w:val="none"/>
        </w:rPr>
        <w:t>3.1.</w:t>
      </w:r>
      <w:r>
        <w:rPr>
          <w:rFonts w:hint="eastAsia" w:hAnsi="宋体" w:cs="宋体"/>
          <w:sz w:val="24"/>
          <w:szCs w:val="24"/>
          <w:highlight w:val="none"/>
        </w:rPr>
        <w:t>4.投标产品由制造商（指产品生产制造商，或其负责销售、售后服务机构，以下同）负责标准售后服务的，应当在</w:t>
      </w:r>
      <w:r>
        <w:rPr>
          <w:rFonts w:hint="eastAsia" w:hAnsi="宋体" w:cs="宋体"/>
          <w:sz w:val="24"/>
          <w:szCs w:val="24"/>
          <w:highlight w:val="none"/>
          <w:lang w:eastAsia="zh-CN"/>
        </w:rPr>
        <w:t>响应文件</w:t>
      </w:r>
      <w:r>
        <w:rPr>
          <w:rFonts w:hint="eastAsia" w:hAnsi="宋体" w:cs="宋体"/>
          <w:sz w:val="24"/>
          <w:szCs w:val="24"/>
          <w:highlight w:val="none"/>
        </w:rPr>
        <w:t>中予以明确说明,并附制造商售后服务承诺。</w:t>
      </w:r>
    </w:p>
    <w:p>
      <w:pPr>
        <w:snapToGrid w:val="0"/>
        <w:spacing w:line="360" w:lineRule="auto"/>
        <w:ind w:firstLine="480" w:firstLineChars="200"/>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3.1.5.投标人提供的商品必须是原装封装的全新出厂产品，完全符合国家有关技术标准、医疗卫生行业标准、产品质量标准。</w:t>
      </w:r>
      <w:r>
        <w:rPr>
          <w:rFonts w:hint="eastAsia" w:hAnsi="宋体" w:cs="宋体"/>
          <w:sz w:val="24"/>
          <w:szCs w:val="24"/>
          <w:highlight w:val="none"/>
          <w:lang w:val="en-US" w:eastAsia="zh-CN"/>
        </w:rPr>
        <w:t>投标</w:t>
      </w:r>
      <w:r>
        <w:rPr>
          <w:rFonts w:hint="eastAsia" w:hAnsi="宋体" w:cs="宋体"/>
          <w:b/>
          <w:bCs/>
          <w:sz w:val="24"/>
          <w:szCs w:val="24"/>
          <w:highlight w:val="none"/>
          <w:lang w:val="en-US" w:eastAsia="zh-CN"/>
        </w:rPr>
        <w:t>产品为国产设备的须为6个月内生产新产品；投标产品为进口设备的须为12个月内生产新产品。</w:t>
      </w:r>
    </w:p>
    <w:p>
      <w:pPr>
        <w:snapToGrid w:val="0"/>
        <w:spacing w:line="400" w:lineRule="exact"/>
        <w:ind w:firstLine="482" w:firstLineChars="200"/>
        <w:rPr>
          <w:b/>
          <w:sz w:val="24"/>
          <w:highlight w:val="none"/>
        </w:rPr>
      </w:pPr>
      <w:r>
        <w:rPr>
          <w:rFonts w:hint="eastAsia"/>
          <w:b/>
          <w:sz w:val="24"/>
          <w:highlight w:val="none"/>
        </w:rPr>
        <w:t>3.2.售后服务内容</w:t>
      </w:r>
    </w:p>
    <w:p>
      <w:pPr>
        <w:snapToGrid w:val="0"/>
        <w:spacing w:line="400" w:lineRule="exact"/>
        <w:ind w:firstLine="480" w:firstLineChars="200"/>
        <w:rPr>
          <w:sz w:val="24"/>
          <w:highlight w:val="none"/>
        </w:rPr>
      </w:pPr>
      <w:r>
        <w:rPr>
          <w:rFonts w:hint="eastAsia"/>
          <w:sz w:val="24"/>
          <w:highlight w:val="none"/>
        </w:rPr>
        <w:t>3.2.1.投标人和制造商在质量保证期内应当为采购人提供以下技术支持和服务：</w:t>
      </w:r>
    </w:p>
    <w:p>
      <w:pPr>
        <w:snapToGrid w:val="0"/>
        <w:spacing w:line="400" w:lineRule="exact"/>
        <w:ind w:firstLine="480" w:firstLineChars="200"/>
        <w:rPr>
          <w:sz w:val="24"/>
          <w:highlight w:val="none"/>
        </w:rPr>
      </w:pPr>
      <w:r>
        <w:rPr>
          <w:rFonts w:hint="eastAsia"/>
          <w:sz w:val="24"/>
          <w:highlight w:val="none"/>
        </w:rPr>
        <w:t>3.2.1.1电话咨询</w:t>
      </w:r>
    </w:p>
    <w:p>
      <w:pPr>
        <w:snapToGrid w:val="0"/>
        <w:spacing w:line="400" w:lineRule="exact"/>
        <w:ind w:firstLine="480" w:firstLineChars="200"/>
        <w:rPr>
          <w:sz w:val="24"/>
          <w:highlight w:val="none"/>
        </w:rPr>
      </w:pPr>
      <w:r>
        <w:rPr>
          <w:rFonts w:hint="eastAsia"/>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highlight w:val="none"/>
        </w:rPr>
      </w:pPr>
      <w:r>
        <w:rPr>
          <w:rFonts w:hint="eastAsia"/>
          <w:sz w:val="24"/>
          <w:highlight w:val="none"/>
        </w:rPr>
        <w:t>3.2.1.2现场响应</w:t>
      </w:r>
    </w:p>
    <w:p>
      <w:pPr>
        <w:snapToGrid w:val="0"/>
        <w:spacing w:line="400" w:lineRule="exact"/>
        <w:ind w:firstLine="480" w:firstLineChars="200"/>
        <w:rPr>
          <w:sz w:val="24"/>
          <w:highlight w:val="none"/>
        </w:rPr>
      </w:pPr>
      <w:r>
        <w:rPr>
          <w:rFonts w:hint="eastAsia"/>
          <w:sz w:val="24"/>
          <w:highlight w:val="none"/>
        </w:rPr>
        <w:t>采购人遇到使用及技术问题，电话咨询不能解决的，售后服务人员应在24小时内到达现场进行处理，确保产品正常工作（</w:t>
      </w:r>
      <w:r>
        <w:rPr>
          <w:rFonts w:hint="eastAsia" w:hAnsi="宋体"/>
          <w:sz w:val="24"/>
          <w:szCs w:val="24"/>
          <w:highlight w:val="none"/>
        </w:rPr>
        <w:t>重大紧急情况3小时内应到位</w:t>
      </w:r>
      <w:r>
        <w:rPr>
          <w:rFonts w:hint="eastAsia"/>
          <w:sz w:val="24"/>
          <w:highlight w:val="none"/>
        </w:rPr>
        <w:t>）。</w:t>
      </w:r>
    </w:p>
    <w:p>
      <w:pPr>
        <w:snapToGrid w:val="0"/>
        <w:spacing w:line="400" w:lineRule="exact"/>
        <w:ind w:firstLine="480" w:firstLineChars="200"/>
        <w:rPr>
          <w:sz w:val="24"/>
          <w:highlight w:val="none"/>
        </w:rPr>
      </w:pPr>
      <w:r>
        <w:rPr>
          <w:rFonts w:hint="eastAsia"/>
          <w:sz w:val="24"/>
          <w:highlight w:val="none"/>
        </w:rPr>
        <w:t>3.2.1.3技术升级</w:t>
      </w:r>
    </w:p>
    <w:p>
      <w:pPr>
        <w:snapToGrid w:val="0"/>
        <w:spacing w:line="400" w:lineRule="exact"/>
        <w:ind w:firstLine="480" w:firstLineChars="200"/>
        <w:rPr>
          <w:sz w:val="24"/>
          <w:highlight w:val="none"/>
        </w:rPr>
      </w:pPr>
      <w:r>
        <w:rPr>
          <w:rFonts w:hint="eastAsia"/>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highlight w:val="none"/>
        </w:rPr>
      </w:pPr>
      <w:r>
        <w:rPr>
          <w:rFonts w:hint="eastAsia"/>
          <w:sz w:val="24"/>
          <w:highlight w:val="none"/>
        </w:rPr>
        <w:t>3.2.2.质保期外服务要求</w:t>
      </w:r>
    </w:p>
    <w:p>
      <w:pPr>
        <w:snapToGrid w:val="0"/>
        <w:spacing w:line="400" w:lineRule="exact"/>
        <w:ind w:firstLine="480" w:firstLineChars="200"/>
        <w:rPr>
          <w:sz w:val="24"/>
          <w:highlight w:val="none"/>
        </w:rPr>
      </w:pPr>
      <w:r>
        <w:rPr>
          <w:rFonts w:hint="eastAsia"/>
          <w:sz w:val="24"/>
          <w:highlight w:val="none"/>
        </w:rPr>
        <w:t>3.2.2.1质量保证期过后，投标人和制造商应同样提供免费电话咨询服务，并应承诺提供产品上门维护服务。</w:t>
      </w:r>
    </w:p>
    <w:p>
      <w:pPr>
        <w:snapToGrid w:val="0"/>
        <w:spacing w:line="400" w:lineRule="exact"/>
        <w:ind w:firstLine="480" w:firstLineChars="200"/>
        <w:rPr>
          <w:sz w:val="24"/>
          <w:highlight w:val="none"/>
        </w:rPr>
      </w:pPr>
      <w:r>
        <w:rPr>
          <w:rFonts w:hint="eastAsia"/>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highlight w:val="none"/>
        </w:rPr>
      </w:pPr>
      <w:r>
        <w:rPr>
          <w:rFonts w:hint="eastAsia"/>
          <w:sz w:val="24"/>
          <w:highlight w:val="none"/>
        </w:rPr>
        <w:t>3.2.2.3</w:t>
      </w:r>
      <w:r>
        <w:rPr>
          <w:sz w:val="24"/>
          <w:highlight w:val="none"/>
        </w:rPr>
        <w:t>质保期后终身免费上门维修，只收取配件费。</w:t>
      </w:r>
    </w:p>
    <w:p>
      <w:pPr>
        <w:snapToGrid w:val="0"/>
        <w:spacing w:line="400" w:lineRule="exact"/>
        <w:ind w:firstLine="482" w:firstLineChars="200"/>
        <w:rPr>
          <w:b/>
          <w:sz w:val="24"/>
          <w:highlight w:val="none"/>
        </w:rPr>
      </w:pPr>
      <w:r>
        <w:rPr>
          <w:rFonts w:hint="eastAsia"/>
          <w:b/>
          <w:sz w:val="24"/>
          <w:highlight w:val="none"/>
        </w:rPr>
        <w:t>3.3.备品备件及易损件</w:t>
      </w:r>
    </w:p>
    <w:p>
      <w:pPr>
        <w:snapToGrid w:val="0"/>
        <w:spacing w:line="400" w:lineRule="exact"/>
        <w:ind w:firstLine="480" w:firstLineChars="200"/>
        <w:rPr>
          <w:sz w:val="24"/>
          <w:highlight w:val="none"/>
        </w:rPr>
      </w:pPr>
      <w:r>
        <w:rPr>
          <w:rFonts w:hint="eastAsia"/>
          <w:sz w:val="24"/>
          <w:highlight w:val="none"/>
        </w:rPr>
        <w:t>中标人和制造商售后服务中，维修使用的备品备件及易损件应为原厂配件，未经采购人同意不得使用非原厂配件。</w:t>
      </w:r>
    </w:p>
    <w:p>
      <w:pPr>
        <w:pStyle w:val="3"/>
        <w:rPr>
          <w:highlight w:val="none"/>
        </w:rPr>
      </w:pPr>
      <w:bookmarkStart w:id="33" w:name="_Toc98942886"/>
      <w:bookmarkStart w:id="34" w:name="_Toc267320051"/>
      <w:bookmarkStart w:id="35" w:name="_Toc505608532"/>
      <w:r>
        <w:rPr>
          <w:rFonts w:hint="eastAsia"/>
          <w:highlight w:val="none"/>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highlight w:val="none"/>
        </w:rPr>
      </w:pPr>
      <w:bookmarkStart w:id="36" w:name="_Toc505608533"/>
      <w:bookmarkStart w:id="37" w:name="_Toc267320052"/>
      <w:r>
        <w:rPr>
          <w:rFonts w:hint="eastAsia" w:hAnsi="宋体" w:cs="宋体"/>
          <w:sz w:val="24"/>
          <w:szCs w:val="24"/>
          <w:highlight w:val="none"/>
          <w:lang w:val="en-US" w:eastAsia="zh-CN"/>
        </w:rPr>
        <w:t>1.</w:t>
      </w:r>
      <w:r>
        <w:rPr>
          <w:rFonts w:hint="eastAsia" w:ascii="宋体" w:hAnsi="宋体" w:cs="宋体"/>
          <w:sz w:val="24"/>
          <w:szCs w:val="24"/>
          <w:highlight w:val="none"/>
          <w:lang w:eastAsia="zh-CN"/>
        </w:rPr>
        <w:t>验收合格</w:t>
      </w:r>
      <w:r>
        <w:rPr>
          <w:rFonts w:hint="eastAsia" w:hAnsi="宋体" w:cs="宋体"/>
          <w:sz w:val="24"/>
          <w:szCs w:val="24"/>
          <w:highlight w:val="none"/>
          <w:lang w:eastAsia="zh-CN"/>
        </w:rPr>
        <w:t>并完成入库</w:t>
      </w:r>
      <w:r>
        <w:rPr>
          <w:rFonts w:hint="eastAsia" w:ascii="宋体" w:hAnsi="宋体" w:cs="宋体"/>
          <w:sz w:val="24"/>
          <w:szCs w:val="24"/>
          <w:highlight w:val="none"/>
          <w:lang w:eastAsia="zh-CN"/>
        </w:rPr>
        <w:t>后，</w:t>
      </w:r>
      <w:r>
        <w:rPr>
          <w:rFonts w:hint="eastAsia" w:ascii="宋体" w:hAnsi="宋体" w:cs="宋体"/>
          <w:sz w:val="24"/>
          <w:szCs w:val="24"/>
          <w:highlight w:val="none"/>
        </w:rPr>
        <w:t>收到乙方开具合同全额发票后15个工作日内，甲方支付</w:t>
      </w:r>
      <w:r>
        <w:rPr>
          <w:rFonts w:hint="eastAsia" w:ascii="宋体" w:hAnsi="宋体" w:cs="宋体"/>
          <w:sz w:val="24"/>
          <w:szCs w:val="24"/>
          <w:highlight w:val="none"/>
          <w:lang w:val="en-US" w:eastAsia="zh-Hans"/>
        </w:rPr>
        <w:t>合同金额的</w:t>
      </w:r>
      <w:r>
        <w:rPr>
          <w:rFonts w:hint="eastAsia" w:ascii="宋体" w:hAnsi="宋体" w:cs="宋体"/>
          <w:sz w:val="24"/>
          <w:szCs w:val="24"/>
          <w:highlight w:val="none"/>
          <w:lang w:val="en-US" w:eastAsia="zh-CN"/>
        </w:rPr>
        <w:t>95</w:t>
      </w:r>
      <w:r>
        <w:rPr>
          <w:rFonts w:hint="default" w:ascii="宋体" w:hAnsi="宋体" w:cs="宋体"/>
          <w:sz w:val="24"/>
          <w:szCs w:val="24"/>
          <w:highlight w:val="none"/>
          <w:lang w:eastAsia="zh-Hans"/>
        </w:rPr>
        <w:t>%</w:t>
      </w:r>
      <w:r>
        <w:rPr>
          <w:rFonts w:hint="eastAsia" w:ascii="宋体" w:hAnsi="宋体" w:cs="宋体"/>
          <w:sz w:val="24"/>
          <w:szCs w:val="24"/>
          <w:highlight w:val="none"/>
        </w:rPr>
        <w:t>；</w:t>
      </w:r>
    </w:p>
    <w:p>
      <w:pPr>
        <w:snapToGrid w:val="0"/>
        <w:spacing w:line="400" w:lineRule="exact"/>
        <w:ind w:firstLine="480" w:firstLineChars="200"/>
        <w:rPr>
          <w:sz w:val="24"/>
          <w:highlight w:val="none"/>
        </w:rPr>
      </w:pPr>
      <w:r>
        <w:rPr>
          <w:rFonts w:hint="eastAsia" w:hAnsi="宋体" w:cs="宋体"/>
          <w:sz w:val="24"/>
          <w:szCs w:val="24"/>
          <w:highlight w:val="none"/>
          <w:lang w:val="en-US" w:eastAsia="zh-CN"/>
        </w:rPr>
        <w:t>2.</w:t>
      </w:r>
      <w:r>
        <w:rPr>
          <w:rFonts w:hint="eastAsia" w:ascii="宋体" w:hAnsi="宋体" w:cs="宋体"/>
          <w:sz w:val="24"/>
          <w:szCs w:val="24"/>
          <w:highlight w:val="none"/>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sz w:val="24"/>
          <w:szCs w:val="24"/>
          <w:highlight w:val="none"/>
          <w:lang w:eastAsia="zh-Hans"/>
        </w:rPr>
        <w:t>15</w:t>
      </w:r>
      <w:r>
        <w:rPr>
          <w:rFonts w:hint="eastAsia" w:ascii="宋体" w:hAnsi="宋体" w:cs="宋体"/>
          <w:sz w:val="24"/>
          <w:szCs w:val="24"/>
          <w:highlight w:val="none"/>
          <w:lang w:val="en-US" w:eastAsia="zh-Hans"/>
        </w:rPr>
        <w:t>个工作日内，支付剩余款项。</w:t>
      </w:r>
    </w:p>
    <w:p>
      <w:pPr>
        <w:pStyle w:val="3"/>
        <w:rPr>
          <w:highlight w:val="none"/>
        </w:rPr>
      </w:pPr>
      <w:bookmarkStart w:id="38" w:name="_Toc98942887"/>
      <w:r>
        <w:rPr>
          <w:rFonts w:hint="eastAsia"/>
          <w:highlight w:val="none"/>
        </w:rPr>
        <w:t>五、知识产权</w:t>
      </w:r>
      <w:bookmarkEnd w:id="36"/>
      <w:bookmarkEnd w:id="37"/>
      <w:bookmarkEnd w:id="38"/>
    </w:p>
    <w:p>
      <w:pPr>
        <w:ind w:firstLine="424" w:firstLineChars="177"/>
        <w:rPr>
          <w:sz w:val="24"/>
          <w:szCs w:val="24"/>
          <w:highlight w:val="none"/>
        </w:rPr>
      </w:pPr>
      <w:r>
        <w:rPr>
          <w:rFonts w:hint="eastAsia"/>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highlight w:val="none"/>
        </w:rPr>
      </w:pPr>
      <w:bookmarkStart w:id="39" w:name="_Toc98942888"/>
      <w:bookmarkStart w:id="40" w:name="_Toc267320053"/>
      <w:bookmarkStart w:id="41" w:name="_Toc505608534"/>
      <w:r>
        <w:rPr>
          <w:rFonts w:hint="eastAsia"/>
          <w:highlight w:val="none"/>
        </w:rPr>
        <w:t>六、培训</w:t>
      </w:r>
      <w:bookmarkEnd w:id="39"/>
      <w:bookmarkEnd w:id="40"/>
      <w:bookmarkEnd w:id="41"/>
    </w:p>
    <w:p>
      <w:pPr>
        <w:ind w:firstLine="424" w:firstLineChars="177"/>
        <w:rPr>
          <w:sz w:val="24"/>
          <w:szCs w:val="24"/>
          <w:highlight w:val="none"/>
        </w:rPr>
      </w:pPr>
      <w:r>
        <w:rPr>
          <w:rFonts w:hint="eastAsia"/>
          <w:sz w:val="24"/>
          <w:szCs w:val="24"/>
          <w:highlight w:val="none"/>
        </w:rPr>
        <w:t>投标人对其提供产品的使用和操作应尽培训义务。投标人应提供对采购人的基本免费培训，使采购人使用人员能够正常操作。</w:t>
      </w:r>
    </w:p>
    <w:p>
      <w:pPr>
        <w:pStyle w:val="3"/>
        <w:rPr>
          <w:highlight w:val="none"/>
        </w:rPr>
      </w:pPr>
      <w:bookmarkStart w:id="42" w:name="_Toc267320054"/>
      <w:bookmarkStart w:id="43" w:name="_Toc505608536"/>
      <w:bookmarkStart w:id="44" w:name="_Toc98942889"/>
      <w:r>
        <w:rPr>
          <w:rFonts w:hint="eastAsia"/>
          <w:highlight w:val="none"/>
        </w:rPr>
        <w:t>七、</w:t>
      </w:r>
      <w:bookmarkEnd w:id="42"/>
      <w:r>
        <w:rPr>
          <w:rFonts w:hint="eastAsia"/>
          <w:highlight w:val="none"/>
        </w:rPr>
        <w:t>其他商务要求内容</w:t>
      </w:r>
      <w:bookmarkEnd w:id="43"/>
      <w:bookmarkEnd w:id="44"/>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方正仿宋_GBK"/>
          <w:color w:val="auto"/>
          <w:sz w:val="24"/>
          <w:szCs w:val="24"/>
          <w:highlight w:val="none"/>
        </w:rPr>
      </w:pPr>
      <w:r>
        <w:rPr>
          <w:rFonts w:hint="eastAsia" w:hAnsi="宋体" w:cs="方正仿宋_GBK"/>
          <w:sz w:val="24"/>
          <w:szCs w:val="24"/>
          <w:highlight w:val="none"/>
        </w:rPr>
        <w:t>7</w:t>
      </w:r>
      <w:r>
        <w:rPr>
          <w:rFonts w:hint="eastAsia" w:hAnsi="宋体" w:cs="方正仿宋_GBK"/>
          <w:color w:val="auto"/>
          <w:sz w:val="24"/>
          <w:szCs w:val="24"/>
          <w:highlight w:val="none"/>
        </w:rPr>
        <w:t>.5.</w:t>
      </w:r>
      <w:r>
        <w:rPr>
          <w:rFonts w:hint="eastAsia" w:hAnsi="宋体" w:cs="方正仿宋_GBK"/>
          <w:color w:val="auto"/>
          <w:sz w:val="24"/>
          <w:szCs w:val="24"/>
          <w:highlight w:val="none"/>
          <w:lang w:eastAsia="zh-CN"/>
        </w:rPr>
        <w:t>竞争性比选文件</w:t>
      </w:r>
      <w:r>
        <w:rPr>
          <w:rFonts w:hint="eastAsia" w:hAnsi="宋体" w:cs="方正仿宋_GBK"/>
          <w:color w:val="auto"/>
          <w:sz w:val="24"/>
          <w:szCs w:val="24"/>
          <w:highlight w:val="none"/>
        </w:rPr>
        <w:t>、中标人的</w:t>
      </w:r>
      <w:r>
        <w:rPr>
          <w:rFonts w:hint="eastAsia" w:hAnsi="宋体" w:cs="方正仿宋_GBK"/>
          <w:color w:val="auto"/>
          <w:sz w:val="24"/>
          <w:szCs w:val="24"/>
          <w:highlight w:val="none"/>
          <w:lang w:eastAsia="zh-CN"/>
        </w:rPr>
        <w:t>响应</w:t>
      </w:r>
      <w:r>
        <w:rPr>
          <w:rFonts w:hint="eastAsia" w:hAnsi="宋体" w:cs="方正仿宋_GBK"/>
          <w:color w:val="auto"/>
          <w:sz w:val="24"/>
          <w:szCs w:val="24"/>
          <w:highlight w:val="none"/>
        </w:rPr>
        <w:t>文件及有效承诺文件等，均为签订合同的依据，是合同不可分割的一部分。</w:t>
      </w:r>
    </w:p>
    <w:p>
      <w:pPr>
        <w:spacing w:line="360" w:lineRule="auto"/>
        <w:ind w:firstLine="360" w:firstLineChars="150"/>
        <w:rPr>
          <w:rFonts w:hint="default" w:hAnsi="宋体" w:eastAsia="宋体" w:cs="方正仿宋_GBK"/>
          <w:sz w:val="24"/>
          <w:szCs w:val="24"/>
          <w:highlight w:val="none"/>
          <w:lang w:val="en-US" w:eastAsia="zh-CN"/>
        </w:rPr>
      </w:pPr>
      <w:r>
        <w:rPr>
          <w:rFonts w:hint="eastAsia" w:hAnsi="宋体" w:cs="方正仿宋_GBK"/>
          <w:color w:val="auto"/>
          <w:sz w:val="24"/>
          <w:szCs w:val="24"/>
          <w:highlight w:val="none"/>
          <w:lang w:val="en-US" w:eastAsia="zh-CN"/>
        </w:rPr>
        <w:t>7.6.</w:t>
      </w:r>
      <w:r>
        <w:rPr>
          <w:rFonts w:hint="eastAsia" w:ascii="宋体" w:hAnsi="宋体" w:cs="宋体"/>
          <w:color w:val="auto"/>
          <w:kern w:val="0"/>
          <w:sz w:val="24"/>
          <w:szCs w:val="24"/>
          <w:highlight w:val="none"/>
        </w:rPr>
        <w:t>若</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lang w:eastAsia="zh-Hans"/>
        </w:rPr>
        <w:t>认为</w:t>
      </w:r>
      <w:r>
        <w:rPr>
          <w:rFonts w:hint="eastAsia" w:ascii="宋体" w:hAnsi="宋体" w:cs="宋体"/>
          <w:color w:val="auto"/>
          <w:kern w:val="0"/>
          <w:sz w:val="24"/>
          <w:szCs w:val="24"/>
          <w:highlight w:val="none"/>
        </w:rPr>
        <w:t>货物需要第三方质量检测或者鉴定的，</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lang w:eastAsia="zh-Hans"/>
        </w:rPr>
        <w:t>有权</w:t>
      </w:r>
      <w:r>
        <w:rPr>
          <w:rFonts w:hint="eastAsia" w:ascii="宋体" w:hAnsi="宋体" w:cs="宋体"/>
          <w:color w:val="auto"/>
          <w:kern w:val="0"/>
          <w:sz w:val="24"/>
          <w:szCs w:val="24"/>
          <w:highlight w:val="none"/>
        </w:rPr>
        <w:t>单方选择检测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鉴定机构，</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对前述机构的检测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鉴定结论予以认可，</w:t>
      </w:r>
      <w:r>
        <w:rPr>
          <w:rFonts w:hint="eastAsia" w:ascii="宋体" w:hAnsi="宋体" w:cs="宋体"/>
          <w:color w:val="auto"/>
          <w:kern w:val="0"/>
          <w:sz w:val="24"/>
          <w:szCs w:val="24"/>
          <w:highlight w:val="none"/>
          <w:lang w:eastAsia="zh-Hans"/>
        </w:rPr>
        <w:t>且</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应承担相关费用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包括但不限于检测费用、鉴定费用、运输费用、装卸费用等</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bookmarkStart w:id="106" w:name="_GoBack"/>
      <w:bookmarkEnd w:id="106"/>
    </w:p>
    <w:p>
      <w:pPr>
        <w:pStyle w:val="2"/>
        <w:spacing w:line="360" w:lineRule="auto"/>
        <w:rPr>
          <w:rFonts w:ascii="宋体" w:hAnsi="宋体" w:eastAsia="宋体" w:cs="宋体"/>
          <w:highlight w:val="none"/>
        </w:rPr>
      </w:pPr>
      <w:bookmarkStart w:id="45" w:name="_Toc98942890"/>
      <w:bookmarkStart w:id="46" w:name="_Toc19113859"/>
      <w:r>
        <w:rPr>
          <w:rFonts w:hint="eastAsia" w:ascii="宋体" w:hAnsi="宋体" w:eastAsia="宋体" w:cs="宋体"/>
          <w:highlight w:val="none"/>
        </w:rPr>
        <w:t>第四篇 资格审查及评分办法</w:t>
      </w:r>
      <w:bookmarkEnd w:id="45"/>
      <w:bookmarkEnd w:id="46"/>
    </w:p>
    <w:p>
      <w:pPr>
        <w:pStyle w:val="3"/>
        <w:rPr>
          <w:highlight w:val="none"/>
        </w:rPr>
      </w:pPr>
      <w:bookmarkStart w:id="47" w:name="_Toc98942891"/>
      <w:r>
        <w:rPr>
          <w:rFonts w:hint="eastAsia"/>
          <w:highlight w:val="none"/>
        </w:rPr>
        <w:t>一、资格审查</w:t>
      </w:r>
      <w:bookmarkEnd w:id="47"/>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highlight w:val="none"/>
        </w:rPr>
      </w:pPr>
      <w:bookmarkStart w:id="48" w:name="_Toc10474389"/>
      <w:bookmarkStart w:id="49" w:name="_Toc98942892"/>
      <w:r>
        <w:rPr>
          <w:rFonts w:hint="eastAsia"/>
          <w:highlight w:val="none"/>
        </w:rPr>
        <w:t>二、评标方法</w:t>
      </w:r>
      <w:bookmarkEnd w:id="48"/>
      <w:bookmarkEnd w:id="49"/>
    </w:p>
    <w:p>
      <w:pPr>
        <w:spacing w:line="360" w:lineRule="auto"/>
        <w:ind w:firstLine="566" w:firstLineChars="236"/>
        <w:rPr>
          <w:rFonts w:hint="eastAsia" w:hAnsi="宋体" w:cs="宋体"/>
          <w:sz w:val="24"/>
          <w:szCs w:val="24"/>
          <w:highlight w:val="none"/>
        </w:rPr>
      </w:pPr>
      <w:r>
        <w:rPr>
          <w:rFonts w:hint="eastAsia" w:hAnsi="宋体" w:cs="宋体"/>
          <w:sz w:val="24"/>
          <w:szCs w:val="24"/>
          <w:highlight w:val="none"/>
        </w:rPr>
        <w:t>本项目采用</w:t>
      </w:r>
      <w:r>
        <w:rPr>
          <w:rFonts w:hint="eastAsia" w:hAnsi="宋体" w:cs="宋体"/>
          <w:sz w:val="24"/>
          <w:szCs w:val="24"/>
          <w:highlight w:val="none"/>
        </w:rPr>
        <w:t>综合评分法</w:t>
      </w:r>
      <w:r>
        <w:rPr>
          <w:rFonts w:hint="eastAsia" w:hAnsi="宋体" w:cs="宋体"/>
          <w:sz w:val="24"/>
          <w:szCs w:val="24"/>
          <w:highlight w:val="none"/>
        </w:rPr>
        <w:t>进行评标。综合评分法，是指</w:t>
      </w:r>
      <w:r>
        <w:rPr>
          <w:rFonts w:hint="eastAsia" w:hAnsi="宋体" w:cs="宋体"/>
          <w:sz w:val="24"/>
          <w:szCs w:val="24"/>
          <w:highlight w:val="none"/>
          <w:lang w:eastAsia="zh-CN"/>
        </w:rPr>
        <w:t>响应文件</w:t>
      </w:r>
      <w:r>
        <w:rPr>
          <w:rFonts w:hint="eastAsia" w:hAnsi="宋体" w:cs="宋体"/>
          <w:sz w:val="24"/>
          <w:szCs w:val="24"/>
          <w:highlight w:val="none"/>
        </w:rPr>
        <w:t>满足</w:t>
      </w:r>
      <w:r>
        <w:rPr>
          <w:rFonts w:hint="eastAsia" w:hAnsi="宋体" w:cs="宋体"/>
          <w:sz w:val="24"/>
          <w:szCs w:val="24"/>
          <w:highlight w:val="none"/>
          <w:lang w:eastAsia="zh-CN"/>
        </w:rPr>
        <w:t>竞争性比选文件</w:t>
      </w:r>
      <w:r>
        <w:rPr>
          <w:rFonts w:hint="eastAsia" w:hAnsi="宋体" w:cs="宋体"/>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第三篇中（★）号标注的部分</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w:t>
      </w:r>
      <w:r>
        <w:rPr>
          <w:rFonts w:hint="eastAsia" w:hAnsi="宋体" w:cs="宋体"/>
          <w:sz w:val="24"/>
          <w:szCs w:val="24"/>
          <w:highlight w:val="none"/>
          <w:lang w:eastAsia="zh-CN"/>
        </w:rPr>
        <w:t>响应文件</w:t>
      </w:r>
      <w:r>
        <w:rPr>
          <w:rFonts w:hint="eastAsia" w:hAnsi="宋体" w:cs="宋体"/>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none"/>
          <w:lang w:eastAsia="zh-CN"/>
        </w:rPr>
        <w:t>响应文件</w:t>
      </w:r>
      <w:r>
        <w:rPr>
          <w:rFonts w:hint="eastAsia" w:hAnsi="宋体" w:cs="宋体"/>
          <w:sz w:val="24"/>
          <w:szCs w:val="24"/>
          <w:highlight w:val="none"/>
        </w:rPr>
        <w:t>进行再次核对，确属打分有误的，应及时进行修正。</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按</w:t>
      </w:r>
      <w:r>
        <w:rPr>
          <w:rFonts w:hint="eastAsia" w:hAnsi="宋体" w:cs="宋体"/>
          <w:sz w:val="24"/>
          <w:szCs w:val="24"/>
          <w:highlight w:val="none"/>
        </w:rPr>
        <w:t>评审后得分由高到低</w:t>
      </w:r>
      <w:r>
        <w:rPr>
          <w:rFonts w:hint="eastAsia" w:hAnsi="宋体" w:cs="宋体"/>
          <w:sz w:val="24"/>
          <w:szCs w:val="24"/>
          <w:highlight w:val="none"/>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highlight w:val="none"/>
        </w:rPr>
      </w:pPr>
      <w:bookmarkStart w:id="50" w:name="_Toc98942893"/>
    </w:p>
    <w:p>
      <w:pPr>
        <w:pStyle w:val="3"/>
        <w:rPr>
          <w:color w:val="FF0000"/>
          <w:highlight w:val="none"/>
        </w:rPr>
      </w:pPr>
      <w:r>
        <w:rPr>
          <w:rFonts w:hint="eastAsia"/>
          <w:highlight w:val="none"/>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序号</w:t>
            </w:r>
          </w:p>
        </w:tc>
        <w:tc>
          <w:tcPr>
            <w:tcW w:w="129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评分因素及权重</w:t>
            </w:r>
          </w:p>
        </w:tc>
        <w:tc>
          <w:tcPr>
            <w:tcW w:w="97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分值</w:t>
            </w:r>
          </w:p>
        </w:tc>
        <w:tc>
          <w:tcPr>
            <w:tcW w:w="696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sz w:val="24"/>
                <w:szCs w:val="24"/>
                <w:highlight w:val="none"/>
              </w:rPr>
            </w:pPr>
            <w:r>
              <w:rPr>
                <w:rFonts w:hint="eastAsia" w:hAnsi="宋体"/>
                <w:sz w:val="24"/>
                <w:szCs w:val="24"/>
                <w:highlight w:val="none"/>
              </w:rPr>
              <w:t>1</w:t>
            </w:r>
          </w:p>
        </w:tc>
        <w:tc>
          <w:tcPr>
            <w:tcW w:w="1296" w:type="dxa"/>
            <w:vAlign w:val="center"/>
          </w:tcPr>
          <w:p>
            <w:pPr>
              <w:spacing w:line="400" w:lineRule="exact"/>
              <w:jc w:val="center"/>
              <w:rPr>
                <w:rFonts w:hAnsi="宋体"/>
                <w:sz w:val="24"/>
                <w:szCs w:val="24"/>
                <w:highlight w:val="none"/>
              </w:rPr>
            </w:pPr>
            <w:r>
              <w:rPr>
                <w:rFonts w:hint="eastAsia" w:hAnsi="宋体"/>
                <w:sz w:val="24"/>
                <w:szCs w:val="24"/>
                <w:highlight w:val="none"/>
              </w:rPr>
              <w:t>投标报价</w:t>
            </w:r>
          </w:p>
          <w:p>
            <w:pPr>
              <w:spacing w:line="400" w:lineRule="exact"/>
              <w:jc w:val="center"/>
              <w:rPr>
                <w:rFonts w:hAnsi="宋体"/>
                <w:sz w:val="24"/>
                <w:szCs w:val="24"/>
                <w:highlight w:val="none"/>
              </w:rPr>
            </w:pPr>
            <w:r>
              <w:rPr>
                <w:rFonts w:hint="eastAsia" w:hAnsi="宋体"/>
                <w:sz w:val="24"/>
                <w:szCs w:val="24"/>
                <w:highlight w:val="none"/>
              </w:rPr>
              <w:t>（40%）</w:t>
            </w:r>
          </w:p>
        </w:tc>
        <w:tc>
          <w:tcPr>
            <w:tcW w:w="977" w:type="dxa"/>
            <w:vAlign w:val="center"/>
          </w:tcPr>
          <w:p>
            <w:pPr>
              <w:spacing w:line="400" w:lineRule="exact"/>
              <w:jc w:val="center"/>
              <w:rPr>
                <w:rFonts w:hAnsi="宋体"/>
                <w:sz w:val="24"/>
                <w:szCs w:val="24"/>
                <w:highlight w:val="none"/>
              </w:rPr>
            </w:pPr>
            <w:r>
              <w:rPr>
                <w:rFonts w:hint="eastAsia" w:hAnsi="宋体"/>
                <w:sz w:val="24"/>
                <w:szCs w:val="24"/>
                <w:highlight w:val="none"/>
              </w:rPr>
              <w:t>40分</w:t>
            </w:r>
          </w:p>
        </w:tc>
        <w:tc>
          <w:tcPr>
            <w:tcW w:w="6966" w:type="dxa"/>
            <w:vAlign w:val="center"/>
          </w:tcPr>
          <w:p>
            <w:pPr>
              <w:rPr>
                <w:rFonts w:hAnsi="宋体"/>
                <w:sz w:val="24"/>
                <w:szCs w:val="24"/>
                <w:highlight w:val="none"/>
              </w:rPr>
            </w:pPr>
            <w:r>
              <w:rPr>
                <w:rFonts w:hint="eastAsia" w:hAnsi="宋体"/>
                <w:sz w:val="24"/>
                <w:szCs w:val="24"/>
                <w:highlight w:val="none"/>
              </w:rPr>
              <w:t>投标总价,有效的投标报价中的最低价为评标基准价，按照下列公式计算每个投标人的投标价格得分；</w:t>
            </w:r>
          </w:p>
          <w:p>
            <w:pPr>
              <w:rPr>
                <w:rFonts w:hAnsi="宋体"/>
                <w:sz w:val="24"/>
                <w:szCs w:val="24"/>
                <w:highlight w:val="none"/>
              </w:rPr>
            </w:pPr>
            <w:r>
              <w:rPr>
                <w:rFonts w:hint="eastAsia" w:hAnsi="宋体"/>
                <w:sz w:val="24"/>
                <w:szCs w:val="24"/>
                <w:highlight w:val="none"/>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sz w:val="24"/>
                <w:szCs w:val="24"/>
                <w:highlight w:val="none"/>
                <w:lang w:eastAsia="zh-CN"/>
              </w:rPr>
            </w:pPr>
            <w:r>
              <w:rPr>
                <w:rFonts w:hint="eastAsia" w:hAnsi="宋体"/>
                <w:sz w:val="24"/>
                <w:szCs w:val="24"/>
                <w:highlight w:val="none"/>
                <w:lang w:val="en-US" w:eastAsia="zh-CN"/>
              </w:rPr>
              <w:t>2</w:t>
            </w:r>
          </w:p>
        </w:tc>
        <w:tc>
          <w:tcPr>
            <w:tcW w:w="1296"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技术部分</w:t>
            </w:r>
          </w:p>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w:t>
            </w:r>
          </w:p>
        </w:tc>
        <w:tc>
          <w:tcPr>
            <w:tcW w:w="977"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分</w:t>
            </w: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1.起评分：</w:t>
            </w:r>
          </w:p>
          <w:p>
            <w:pPr>
              <w:spacing w:line="240" w:lineRule="atLeast"/>
              <w:ind w:firstLine="28"/>
              <w:jc w:val="left"/>
              <w:rPr>
                <w:rFonts w:hAnsi="宋体"/>
                <w:sz w:val="24"/>
                <w:szCs w:val="24"/>
                <w:highlight w:val="none"/>
              </w:rPr>
            </w:pPr>
            <w:r>
              <w:rPr>
                <w:rFonts w:hint="eastAsia" w:hAnsi="宋体"/>
                <w:sz w:val="24"/>
                <w:szCs w:val="24"/>
                <w:highlight w:val="none"/>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sz w:val="24"/>
                <w:szCs w:val="24"/>
                <w:highlight w:val="none"/>
              </w:rPr>
            </w:pPr>
          </w:p>
        </w:tc>
        <w:tc>
          <w:tcPr>
            <w:tcW w:w="1296" w:type="dxa"/>
            <w:vMerge w:val="continue"/>
            <w:vAlign w:val="center"/>
          </w:tcPr>
          <w:p>
            <w:pPr>
              <w:spacing w:line="400" w:lineRule="exact"/>
              <w:jc w:val="center"/>
              <w:rPr>
                <w:rFonts w:hAnsi="宋体"/>
                <w:sz w:val="24"/>
                <w:szCs w:val="24"/>
                <w:highlight w:val="none"/>
              </w:rPr>
            </w:pPr>
          </w:p>
        </w:tc>
        <w:tc>
          <w:tcPr>
            <w:tcW w:w="977" w:type="dxa"/>
            <w:vMerge w:val="continue"/>
            <w:vAlign w:val="center"/>
          </w:tcPr>
          <w:p>
            <w:pPr>
              <w:spacing w:line="400" w:lineRule="exact"/>
              <w:jc w:val="center"/>
              <w:rPr>
                <w:rFonts w:hAnsi="宋体"/>
                <w:sz w:val="24"/>
                <w:szCs w:val="24"/>
                <w:highlight w:val="none"/>
              </w:rPr>
            </w:pP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2.扣分条款：</w:t>
            </w:r>
          </w:p>
          <w:p>
            <w:pPr>
              <w:spacing w:line="240" w:lineRule="atLeast"/>
              <w:ind w:firstLine="28"/>
              <w:jc w:val="left"/>
              <w:rPr>
                <w:rFonts w:hAnsi="宋体"/>
                <w:sz w:val="24"/>
                <w:szCs w:val="24"/>
                <w:highlight w:val="none"/>
              </w:rPr>
            </w:pPr>
            <w:r>
              <w:rPr>
                <w:rFonts w:hint="eastAsia" w:hAnsi="宋体"/>
                <w:sz w:val="24"/>
                <w:szCs w:val="24"/>
                <w:highlight w:val="none"/>
              </w:rPr>
              <w:t>2.1重要技术参数带（*）部分有一条不满足，扣</w:t>
            </w:r>
            <w:r>
              <w:rPr>
                <w:rFonts w:hint="eastAsia" w:hAnsi="宋体"/>
                <w:sz w:val="24"/>
                <w:szCs w:val="24"/>
                <w:highlight w:val="none"/>
                <w:lang w:val="en-US" w:eastAsia="zh-CN"/>
              </w:rPr>
              <w:t>10</w:t>
            </w:r>
            <w:r>
              <w:rPr>
                <w:rFonts w:hint="eastAsia" w:hAnsi="宋体"/>
                <w:sz w:val="24"/>
                <w:szCs w:val="24"/>
                <w:highlight w:val="none"/>
              </w:rPr>
              <w:t>分；</w:t>
            </w:r>
          </w:p>
          <w:p>
            <w:pPr>
              <w:spacing w:line="240" w:lineRule="atLeast"/>
              <w:ind w:firstLine="28"/>
              <w:jc w:val="left"/>
              <w:rPr>
                <w:rFonts w:hAnsi="宋体"/>
                <w:sz w:val="24"/>
                <w:szCs w:val="24"/>
                <w:highlight w:val="none"/>
              </w:rPr>
            </w:pPr>
            <w:r>
              <w:rPr>
                <w:rFonts w:hint="eastAsia" w:hAnsi="宋体"/>
                <w:sz w:val="24"/>
                <w:szCs w:val="24"/>
                <w:highlight w:val="none"/>
              </w:rPr>
              <w:t>2.2一般性技术参数（非</w:t>
            </w:r>
            <w:r>
              <w:rPr>
                <w:rFonts w:hint="eastAsia" w:hAnsi="宋体"/>
                <w:sz w:val="24"/>
                <w:szCs w:val="24"/>
                <w:highlight w:val="none"/>
                <w:lang w:eastAsia="zh-CN"/>
              </w:rPr>
              <w:t>★</w:t>
            </w:r>
            <w:r>
              <w:rPr>
                <w:rFonts w:hint="eastAsia" w:hAnsi="宋体"/>
                <w:sz w:val="24"/>
                <w:szCs w:val="24"/>
                <w:highlight w:val="none"/>
              </w:rPr>
              <w:t>、*号标注的部分）达不到</w:t>
            </w:r>
            <w:r>
              <w:rPr>
                <w:rFonts w:hint="eastAsia" w:hAnsi="宋体"/>
                <w:sz w:val="24"/>
                <w:szCs w:val="24"/>
                <w:highlight w:val="none"/>
                <w:lang w:eastAsia="zh-CN"/>
              </w:rPr>
              <w:t>竞争性比选文件</w:t>
            </w:r>
            <w:r>
              <w:rPr>
                <w:rFonts w:hint="eastAsia" w:hAnsi="宋体"/>
                <w:sz w:val="24"/>
                <w:szCs w:val="24"/>
                <w:highlight w:val="none"/>
              </w:rPr>
              <w:t>要求的,每负偏离一条从起评分中扣除</w:t>
            </w:r>
            <w:r>
              <w:rPr>
                <w:rFonts w:hint="eastAsia" w:hAnsi="宋体"/>
                <w:sz w:val="24"/>
                <w:szCs w:val="24"/>
                <w:highlight w:val="none"/>
                <w:lang w:val="en-US" w:eastAsia="zh-CN"/>
              </w:rPr>
              <w:t>5</w:t>
            </w:r>
            <w:r>
              <w:rPr>
                <w:rFonts w:hint="eastAsia"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sz w:val="24"/>
                <w:szCs w:val="24"/>
                <w:highlight w:val="none"/>
              </w:rPr>
            </w:pPr>
            <w:r>
              <w:rPr>
                <w:rFonts w:hint="eastAsia" w:hAnsi="宋体"/>
                <w:sz w:val="24"/>
                <w:szCs w:val="24"/>
                <w:highlight w:val="none"/>
              </w:rPr>
              <w:t>投标人的应答应满足</w:t>
            </w:r>
            <w:r>
              <w:rPr>
                <w:rFonts w:hint="eastAsia" w:hAnsi="宋体"/>
                <w:sz w:val="24"/>
                <w:szCs w:val="24"/>
                <w:highlight w:val="none"/>
                <w:lang w:eastAsia="zh-CN"/>
              </w:rPr>
              <w:t>竞争性比选文件</w:t>
            </w:r>
            <w:r>
              <w:rPr>
                <w:rFonts w:hint="eastAsia" w:hAnsi="宋体"/>
                <w:sz w:val="24"/>
                <w:szCs w:val="24"/>
                <w:highlight w:val="none"/>
              </w:rPr>
              <w:t>“第三篇 项目商务要求”，有一条不满足的（第三篇中（</w:t>
            </w:r>
            <w:r>
              <w:rPr>
                <w:rFonts w:hint="eastAsia" w:hAnsi="宋体"/>
                <w:sz w:val="24"/>
                <w:szCs w:val="24"/>
                <w:highlight w:val="none"/>
                <w:lang w:eastAsia="zh-CN"/>
              </w:rPr>
              <w:t>★</w:t>
            </w:r>
            <w:r>
              <w:rPr>
                <w:rFonts w:hint="eastAsia" w:hAnsi="宋体"/>
                <w:sz w:val="24"/>
                <w:szCs w:val="24"/>
                <w:highlight w:val="none"/>
              </w:rPr>
              <w:t>）号标注的部分除外），商务部分得分为0分，不再进入商务部分的评审。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商务部分（</w:t>
            </w:r>
            <w:r>
              <w:rPr>
                <w:rFonts w:hAnsi="宋体"/>
                <w:sz w:val="24"/>
                <w:szCs w:val="24"/>
                <w:highlight w:val="none"/>
              </w:rPr>
              <w:t>16</w:t>
            </w:r>
            <w:r>
              <w:rPr>
                <w:rFonts w:hint="eastAsia" w:hAnsi="宋体"/>
                <w:sz w:val="24"/>
                <w:szCs w:val="24"/>
                <w:highlight w:val="none"/>
              </w:rPr>
              <w:t>%）</w:t>
            </w: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质保期</w:t>
            </w:r>
          </w:p>
          <w:p>
            <w:pPr>
              <w:spacing w:line="240" w:lineRule="atLeast"/>
              <w:ind w:firstLine="28"/>
              <w:jc w:val="center"/>
              <w:rPr>
                <w:rFonts w:hAnsi="宋体"/>
                <w:sz w:val="24"/>
                <w:szCs w:val="24"/>
                <w:highlight w:val="none"/>
              </w:rPr>
            </w:pPr>
            <w:r>
              <w:rPr>
                <w:rFonts w:hint="eastAsia" w:hAnsi="宋体"/>
                <w:sz w:val="24"/>
                <w:szCs w:val="24"/>
                <w:highlight w:val="none"/>
              </w:rPr>
              <w:t>（3</w:t>
            </w:r>
            <w:r>
              <w:rPr>
                <w:rFonts w:hAnsi="宋体"/>
                <w:sz w:val="24"/>
                <w:szCs w:val="24"/>
                <w:highlight w:val="none"/>
              </w:rPr>
              <w:t>%</w:t>
            </w:r>
            <w:r>
              <w:rPr>
                <w:rFonts w:hint="eastAsia" w:hAnsi="宋体"/>
                <w:sz w:val="24"/>
                <w:szCs w:val="24"/>
                <w:highlight w:val="none"/>
              </w:rPr>
              <w:t>）</w:t>
            </w:r>
          </w:p>
        </w:tc>
        <w:tc>
          <w:tcPr>
            <w:tcW w:w="977"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3</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质保期满足</w:t>
            </w:r>
            <w:r>
              <w:rPr>
                <w:rFonts w:hint="eastAsia" w:hAnsi="宋体"/>
                <w:sz w:val="24"/>
                <w:szCs w:val="24"/>
                <w:highlight w:val="none"/>
                <w:lang w:eastAsia="zh-CN"/>
              </w:rPr>
              <w:t>竞争性比选文件</w:t>
            </w:r>
            <w:r>
              <w:rPr>
                <w:rFonts w:hint="eastAsia" w:hAnsi="宋体"/>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业绩</w:t>
            </w:r>
          </w:p>
          <w:p>
            <w:pPr>
              <w:spacing w:line="240" w:lineRule="atLeast"/>
              <w:ind w:firstLine="28" w:firstLineChars="0"/>
              <w:jc w:val="center"/>
              <w:rPr>
                <w:rFonts w:ascii="宋体" w:hAnsi="宋体" w:eastAsia="宋体" w:cs="Times New Roman"/>
                <w:sz w:val="24"/>
                <w:szCs w:val="24"/>
                <w:highlight w:val="none"/>
                <w:lang w:val="en-US" w:eastAsia="zh-CN" w:bidi="ar-SA"/>
              </w:rPr>
            </w:pPr>
            <w:r>
              <w:rPr>
                <w:rFonts w:hint="eastAsia" w:hAnsi="宋体"/>
                <w:sz w:val="24"/>
                <w:szCs w:val="24"/>
                <w:highlight w:val="none"/>
              </w:rPr>
              <w:t>（</w:t>
            </w:r>
            <w:r>
              <w:rPr>
                <w:rFonts w:hint="eastAsia" w:hAnsi="宋体"/>
                <w:sz w:val="24"/>
                <w:szCs w:val="24"/>
                <w:highlight w:val="none"/>
                <w:lang w:val="en-US" w:eastAsia="zh-CN"/>
              </w:rPr>
              <w:t>4</w:t>
            </w:r>
            <w:r>
              <w:rPr>
                <w:rFonts w:hint="eastAsia" w:hAnsi="宋体"/>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highlight w:val="none"/>
                <w:lang w:val="en-US" w:eastAsia="zh-CN"/>
              </w:rPr>
              <w:t>4</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2020年至今所投相同型号产品，在</w:t>
            </w:r>
            <w:r>
              <w:rPr>
                <w:rFonts w:hint="eastAsia" w:hAnsi="宋体"/>
                <w:sz w:val="24"/>
                <w:szCs w:val="24"/>
                <w:highlight w:val="none"/>
              </w:rPr>
              <w:t>公立医院</w:t>
            </w:r>
            <w:r>
              <w:rPr>
                <w:rFonts w:hint="eastAsia" w:hAnsi="宋体"/>
                <w:sz w:val="24"/>
                <w:szCs w:val="24"/>
                <w:highlight w:val="none"/>
              </w:rPr>
              <w:t>销售业绩合同每增加一个加</w:t>
            </w:r>
            <w:r>
              <w:rPr>
                <w:rFonts w:hint="eastAsia" w:hAnsi="宋体"/>
                <w:sz w:val="24"/>
                <w:szCs w:val="24"/>
                <w:highlight w:val="none"/>
                <w:lang w:val="en-US" w:eastAsia="zh-CN"/>
              </w:rPr>
              <w:t>1</w:t>
            </w:r>
            <w:r>
              <w:rPr>
                <w:rFonts w:hint="eastAsia" w:hAnsi="宋体"/>
                <w:sz w:val="24"/>
                <w:szCs w:val="24"/>
                <w:highlight w:val="none"/>
              </w:rPr>
              <w:t>分，本项累计最多得</w:t>
            </w:r>
            <w:r>
              <w:rPr>
                <w:rFonts w:hint="eastAsia" w:hAnsi="宋体"/>
                <w:sz w:val="24"/>
                <w:szCs w:val="24"/>
                <w:highlight w:val="none"/>
                <w:lang w:val="en-US" w:eastAsia="zh-CN"/>
              </w:rPr>
              <w:t>4</w:t>
            </w:r>
            <w:r>
              <w:rPr>
                <w:rFonts w:hint="eastAsia" w:hAnsi="宋体"/>
                <w:sz w:val="24"/>
                <w:szCs w:val="24"/>
                <w:highlight w:val="none"/>
              </w:rPr>
              <w:t>分。</w:t>
            </w:r>
          </w:p>
          <w:p>
            <w:pPr>
              <w:spacing w:line="240" w:lineRule="atLeast"/>
              <w:ind w:left="-38" w:leftChars="0"/>
              <w:rPr>
                <w:rFonts w:ascii="宋体" w:hAnsi="宋体" w:eastAsia="宋体" w:cs="Times New Roman"/>
                <w:sz w:val="24"/>
                <w:szCs w:val="24"/>
                <w:highlight w:val="none"/>
                <w:lang w:val="en-US" w:eastAsia="zh-CN" w:bidi="ar-SA"/>
              </w:rPr>
            </w:pPr>
            <w:r>
              <w:rPr>
                <w:rFonts w:hint="eastAsia" w:hAnsi="宋体"/>
                <w:sz w:val="24"/>
                <w:szCs w:val="24"/>
                <w:highlight w:val="none"/>
              </w:rPr>
              <w:t>须提供销售合同</w:t>
            </w:r>
            <w:r>
              <w:rPr>
                <w:rFonts w:hint="eastAsia" w:hAnsi="宋体"/>
                <w:sz w:val="24"/>
                <w:szCs w:val="24"/>
                <w:highlight w:val="none"/>
                <w:lang w:eastAsia="zh-CN"/>
              </w:rPr>
              <w:t>和</w:t>
            </w:r>
            <w:r>
              <w:rPr>
                <w:rFonts w:hint="eastAsia" w:hAnsi="宋体"/>
                <w:sz w:val="24"/>
                <w:szCs w:val="24"/>
                <w:highlight w:val="none"/>
              </w:rPr>
              <w:t>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售后服务方案（</w:t>
            </w:r>
            <w:r>
              <w:rPr>
                <w:rFonts w:hint="eastAsia" w:hAnsi="宋体"/>
                <w:sz w:val="24"/>
                <w:szCs w:val="24"/>
                <w:highlight w:val="none"/>
                <w:lang w:val="en-US" w:eastAsia="zh-CN"/>
              </w:rPr>
              <w:t>9%</w:t>
            </w:r>
            <w:r>
              <w:rPr>
                <w:rFonts w:hint="eastAsia" w:hAnsi="宋体"/>
                <w:sz w:val="24"/>
                <w:szCs w:val="24"/>
                <w:highlight w:val="none"/>
              </w:rPr>
              <w:t>）</w:t>
            </w:r>
          </w:p>
        </w:tc>
        <w:tc>
          <w:tcPr>
            <w:tcW w:w="977" w:type="dxa"/>
            <w:vAlign w:val="center"/>
          </w:tcPr>
          <w:p>
            <w:pPr>
              <w:spacing w:line="240" w:lineRule="atLeast"/>
              <w:ind w:firstLine="28"/>
              <w:jc w:val="center"/>
              <w:rPr>
                <w:rFonts w:hint="eastAsia" w:hAnsi="宋体" w:eastAsia="宋体"/>
                <w:sz w:val="24"/>
                <w:szCs w:val="24"/>
                <w:highlight w:val="none"/>
                <w:lang w:val="en-US" w:eastAsia="zh-CN"/>
              </w:rPr>
            </w:pPr>
            <w:r>
              <w:rPr>
                <w:rFonts w:hint="eastAsia" w:hAnsi="宋体"/>
                <w:sz w:val="24"/>
                <w:szCs w:val="24"/>
                <w:highlight w:val="none"/>
                <w:lang w:val="en-US" w:eastAsia="zh-CN"/>
              </w:rPr>
              <w:t>9</w:t>
            </w:r>
          </w:p>
        </w:tc>
        <w:tc>
          <w:tcPr>
            <w:tcW w:w="6966" w:type="dxa"/>
            <w:vAlign w:val="center"/>
          </w:tcPr>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sz w:val="24"/>
                <w:szCs w:val="24"/>
                <w:highlight w:val="none"/>
                <w:lang w:val="en-US" w:eastAsia="zh-CN"/>
              </w:rPr>
            </w:pPr>
            <w:r>
              <w:rPr>
                <w:rFonts w:hint="eastAsia" w:hAnsi="宋体"/>
                <w:sz w:val="24"/>
                <w:szCs w:val="24"/>
                <w:highlight w:val="none"/>
                <w:lang w:val="en-US" w:eastAsia="zh-CN"/>
              </w:rPr>
              <w:t>2、</w:t>
            </w:r>
            <w:r>
              <w:rPr>
                <w:rFonts w:hint="eastAsia" w:hAnsi="宋体"/>
                <w:sz w:val="24"/>
                <w:szCs w:val="24"/>
                <w:highlight w:val="none"/>
              </w:rPr>
              <w:t>根据生产厂家提供售后</w:t>
            </w:r>
            <w:r>
              <w:rPr>
                <w:rFonts w:hint="eastAsia" w:hAnsi="宋体"/>
                <w:sz w:val="24"/>
                <w:szCs w:val="24"/>
                <w:highlight w:val="none"/>
                <w:lang w:val="en-US" w:eastAsia="zh-CN"/>
              </w:rPr>
              <w:t>情况进行评审</w:t>
            </w:r>
            <w:r>
              <w:rPr>
                <w:rFonts w:hint="eastAsia" w:hAnsi="宋体"/>
                <w:sz w:val="24"/>
                <w:szCs w:val="24"/>
                <w:highlight w:val="none"/>
                <w:lang w:eastAsia="zh-CN"/>
              </w:rPr>
              <w:t>（</w:t>
            </w:r>
            <w:r>
              <w:rPr>
                <w:rFonts w:hint="eastAsia" w:hAnsi="宋体"/>
                <w:sz w:val="24"/>
                <w:szCs w:val="24"/>
                <w:highlight w:val="none"/>
                <w:lang w:val="en-US" w:eastAsia="zh-CN"/>
              </w:rPr>
              <w:t>提供生产厂家售后服务承诺函，加盖生产厂家公章，</w:t>
            </w:r>
            <w:r>
              <w:rPr>
                <w:rFonts w:hint="eastAsia" w:hAnsi="宋体"/>
                <w:sz w:val="24"/>
                <w:szCs w:val="24"/>
                <w:highlight w:val="none"/>
                <w:lang w:val="en-US" w:eastAsia="zh-CN"/>
              </w:rPr>
              <w:t>进口产品中国总代视为生产厂家</w:t>
            </w:r>
            <w:r>
              <w:rPr>
                <w:rFonts w:hint="eastAsia" w:hAnsi="宋体"/>
                <w:sz w:val="24"/>
                <w:szCs w:val="24"/>
                <w:highlight w:val="none"/>
                <w:lang w:val="en-US" w:eastAsia="zh-CN"/>
              </w:rPr>
              <w:t>）：</w:t>
            </w:r>
          </w:p>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生产厂家提供售后服务期≧3年，</w:t>
            </w:r>
            <w:r>
              <w:rPr>
                <w:rFonts w:hint="eastAsia" w:hAnsi="宋体"/>
                <w:sz w:val="24"/>
                <w:szCs w:val="24"/>
                <w:highlight w:val="none"/>
                <w:lang w:val="en-US" w:eastAsia="zh-CN"/>
              </w:rPr>
              <w:t>得6</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2）</w:t>
            </w:r>
            <w:r>
              <w:rPr>
                <w:rFonts w:hint="eastAsia" w:hAnsi="宋体"/>
                <w:sz w:val="24"/>
                <w:szCs w:val="24"/>
                <w:highlight w:val="none"/>
              </w:rPr>
              <w:t>3年</w:t>
            </w:r>
            <w:r>
              <w:rPr>
                <w:rFonts w:hint="eastAsia" w:hAnsi="宋体"/>
                <w:sz w:val="24"/>
                <w:szCs w:val="24"/>
                <w:highlight w:val="none"/>
                <w:lang w:val="en-US" w:eastAsia="zh-CN"/>
              </w:rPr>
              <w:t>＞</w:t>
            </w:r>
            <w:r>
              <w:rPr>
                <w:rFonts w:hint="eastAsia" w:hAnsi="宋体"/>
                <w:sz w:val="24"/>
                <w:szCs w:val="24"/>
                <w:highlight w:val="none"/>
              </w:rPr>
              <w:t>生产厂家提供售后服务期≧2年，</w:t>
            </w:r>
            <w:r>
              <w:rPr>
                <w:rFonts w:hint="eastAsia" w:hAnsi="宋体"/>
                <w:sz w:val="24"/>
                <w:szCs w:val="24"/>
                <w:highlight w:val="none"/>
                <w:lang w:val="en-US" w:eastAsia="zh-CN"/>
              </w:rPr>
              <w:t>得4</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3）</w:t>
            </w:r>
            <w:r>
              <w:rPr>
                <w:rFonts w:hint="eastAsia" w:hAnsi="宋体"/>
                <w:sz w:val="24"/>
                <w:szCs w:val="24"/>
                <w:highlight w:val="none"/>
              </w:rPr>
              <w:t>2年</w:t>
            </w:r>
            <w:r>
              <w:rPr>
                <w:rFonts w:hint="eastAsia" w:hAnsi="宋体"/>
                <w:sz w:val="24"/>
                <w:szCs w:val="24"/>
                <w:highlight w:val="none"/>
                <w:lang w:val="en-US" w:eastAsia="zh-CN"/>
              </w:rPr>
              <w:t>＞</w:t>
            </w:r>
            <w:r>
              <w:rPr>
                <w:rFonts w:hint="eastAsia" w:hAnsi="宋体"/>
                <w:sz w:val="24"/>
                <w:szCs w:val="24"/>
                <w:highlight w:val="none"/>
              </w:rPr>
              <w:t>生产厂家提供售后服务期≧1年，</w:t>
            </w:r>
            <w:r>
              <w:rPr>
                <w:rFonts w:hint="eastAsia" w:hAnsi="宋体"/>
                <w:sz w:val="24"/>
                <w:szCs w:val="24"/>
                <w:highlight w:val="none"/>
                <w:lang w:val="en-US" w:eastAsia="zh-CN"/>
              </w:rPr>
              <w:t>得2</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4）</w:t>
            </w:r>
            <w:r>
              <w:rPr>
                <w:rFonts w:hint="eastAsia" w:hAnsi="宋体"/>
                <w:sz w:val="24"/>
                <w:szCs w:val="24"/>
                <w:highlight w:val="none"/>
              </w:rPr>
              <w:t>生产厂家提供售后服务期＜1年，</w:t>
            </w:r>
            <w:r>
              <w:rPr>
                <w:rFonts w:hint="eastAsia" w:hAnsi="宋体"/>
                <w:sz w:val="24"/>
                <w:szCs w:val="24"/>
                <w:highlight w:val="none"/>
                <w:lang w:val="en-US" w:eastAsia="zh-CN"/>
              </w:rPr>
              <w:t>得</w:t>
            </w:r>
            <w:r>
              <w:rPr>
                <w:rFonts w:hint="eastAsia" w:hAnsi="宋体"/>
                <w:sz w:val="24"/>
                <w:szCs w:val="24"/>
                <w:highlight w:val="none"/>
              </w:rPr>
              <w:t>1分；</w:t>
            </w:r>
          </w:p>
          <w:p>
            <w:pPr>
              <w:spacing w:line="240" w:lineRule="atLeast"/>
              <w:ind w:firstLine="28"/>
              <w:jc w:val="left"/>
              <w:rPr>
                <w:rFonts w:hAnsi="宋体"/>
                <w:sz w:val="24"/>
                <w:szCs w:val="24"/>
                <w:highlight w:val="none"/>
              </w:rPr>
            </w:pPr>
            <w:r>
              <w:rPr>
                <w:rFonts w:hint="eastAsia" w:hAnsi="宋体"/>
                <w:sz w:val="24"/>
                <w:szCs w:val="24"/>
                <w:highlight w:val="none"/>
                <w:lang w:val="en-US" w:eastAsia="zh-CN"/>
              </w:rPr>
              <w:t>（5）未提供生产厂家售后服务承诺的，得0分。</w:t>
            </w:r>
          </w:p>
        </w:tc>
      </w:tr>
    </w:tbl>
    <w:p>
      <w:pPr>
        <w:rPr>
          <w:highlight w:val="none"/>
        </w:rPr>
      </w:pPr>
    </w:p>
    <w:p>
      <w:pPr>
        <w:pStyle w:val="3"/>
        <w:rPr>
          <w:rFonts w:hint="eastAsia" w:ascii="宋体" w:hAnsi="宋体" w:eastAsia="宋体" w:cs="宋体"/>
          <w:highlight w:val="none"/>
        </w:rPr>
      </w:pPr>
      <w:bookmarkStart w:id="51" w:name="_Toc21425658"/>
      <w:bookmarkStart w:id="52" w:name="_Toc98942894"/>
      <w:r>
        <w:rPr>
          <w:rFonts w:hint="eastAsia"/>
          <w:highlight w:val="none"/>
        </w:rPr>
        <w:t>四、</w:t>
      </w:r>
      <w:r>
        <w:rPr>
          <w:rFonts w:hint="eastAsia" w:ascii="宋体" w:hAnsi="宋体" w:eastAsia="宋体" w:cs="宋体"/>
          <w:highlight w:val="none"/>
        </w:rPr>
        <w:t>无效投标条款</w:t>
      </w:r>
      <w:bookmarkEnd w:id="51"/>
      <w:bookmarkEnd w:id="52"/>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3"/>
        <w:rPr>
          <w:rFonts w:hint="eastAsia" w:ascii="宋体" w:hAnsi="宋体" w:eastAsia="宋体" w:cs="宋体"/>
          <w:highlight w:val="none"/>
        </w:rPr>
      </w:pPr>
      <w:bookmarkStart w:id="53" w:name="_Toc98942895"/>
      <w:bookmarkStart w:id="54" w:name="_Toc21425659"/>
      <w:r>
        <w:rPr>
          <w:rFonts w:hint="eastAsia" w:ascii="宋体" w:hAnsi="宋体" w:eastAsia="宋体" w:cs="宋体"/>
          <w:highlight w:val="none"/>
        </w:rPr>
        <w:t>五、废标条款</w:t>
      </w:r>
      <w:bookmarkEnd w:id="53"/>
      <w:bookmarkEnd w:id="54"/>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w:t>
      </w:r>
      <w:r>
        <w:rPr>
          <w:rFonts w:hint="eastAsia" w:hAnsi="宋体" w:cs="宋体"/>
          <w:sz w:val="24"/>
          <w:szCs w:val="24"/>
          <w:highlight w:val="none"/>
          <w:lang w:eastAsia="zh-CN"/>
        </w:rPr>
        <w:t>两</w:t>
      </w:r>
      <w:r>
        <w:rPr>
          <w:rFonts w:hint="eastAsia" w:ascii="宋体" w:hAnsi="宋体" w:eastAsia="宋体" w:cs="宋体"/>
          <w:sz w:val="24"/>
          <w:szCs w:val="24"/>
          <w:highlight w:val="none"/>
        </w:rPr>
        <w:t>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55" w:name="_Toc21425660"/>
      <w:bookmarkStart w:id="56" w:name="_Toc98942896"/>
      <w:r>
        <w:rPr>
          <w:rFonts w:hint="eastAsia" w:ascii="宋体" w:hAnsi="宋体" w:eastAsia="宋体"/>
          <w:b w:val="0"/>
          <w:highlight w:val="none"/>
        </w:rPr>
        <w:br w:type="page"/>
      </w:r>
    </w:p>
    <w:p>
      <w:pPr>
        <w:pStyle w:val="2"/>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55"/>
      <w:bookmarkEnd w:id="56"/>
    </w:p>
    <w:p>
      <w:pPr>
        <w:pStyle w:val="3"/>
        <w:rPr>
          <w:rFonts w:hint="eastAsia" w:ascii="宋体" w:hAnsi="宋体" w:eastAsia="宋体" w:cs="宋体"/>
          <w:highlight w:val="none"/>
        </w:rPr>
      </w:pPr>
      <w:bookmarkStart w:id="57" w:name="_Toc98942897"/>
      <w:bookmarkStart w:id="58" w:name="_Toc21425661"/>
      <w:r>
        <w:rPr>
          <w:rFonts w:hint="eastAsia"/>
          <w:highlight w:val="none"/>
        </w:rPr>
        <w:t>一、</w:t>
      </w:r>
      <w:r>
        <w:rPr>
          <w:rFonts w:hint="eastAsia" w:ascii="宋体" w:hAnsi="宋体" w:eastAsia="宋体" w:cs="宋体"/>
          <w:highlight w:val="none"/>
        </w:rPr>
        <w:t>投标人</w:t>
      </w:r>
      <w:bookmarkEnd w:id="57"/>
      <w:bookmarkEnd w:id="58"/>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highlight w:val="none"/>
          <w:lang w:eastAsia="zh-CN"/>
        </w:rPr>
      </w:pPr>
      <w:bookmarkStart w:id="59" w:name="_Toc21425662"/>
      <w:bookmarkStart w:id="60" w:name="_Toc98942898"/>
      <w:r>
        <w:rPr>
          <w:rFonts w:hint="eastAsia" w:ascii="宋体" w:hAnsi="宋体" w:eastAsia="宋体" w:cs="宋体"/>
          <w:highlight w:val="none"/>
        </w:rPr>
        <w:t>二、</w:t>
      </w:r>
      <w:bookmarkEnd w:id="59"/>
      <w:bookmarkEnd w:id="60"/>
      <w:r>
        <w:rPr>
          <w:rFonts w:hint="eastAsia" w:ascii="宋体" w:hAnsi="宋体" w:cs="宋体"/>
          <w:highlight w:val="none"/>
          <w:lang w:eastAsia="zh-CN"/>
        </w:rPr>
        <w:t>竞争性比选文件</w:t>
      </w:r>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3"/>
        <w:rPr>
          <w:rFonts w:hint="eastAsia" w:ascii="宋体" w:hAnsi="宋体" w:eastAsia="宋体" w:cs="宋体"/>
          <w:highlight w:val="none"/>
          <w:lang w:eastAsia="zh-CN"/>
        </w:rPr>
      </w:pPr>
      <w:bookmarkStart w:id="61" w:name="_Toc98942899"/>
      <w:bookmarkStart w:id="62" w:name="_Toc21425663"/>
      <w:r>
        <w:rPr>
          <w:rFonts w:hint="eastAsia" w:ascii="宋体" w:hAnsi="宋体" w:eastAsia="宋体" w:cs="宋体"/>
          <w:highlight w:val="none"/>
        </w:rPr>
        <w:t>三、</w:t>
      </w:r>
      <w:bookmarkEnd w:id="61"/>
      <w:bookmarkEnd w:id="62"/>
      <w:r>
        <w:rPr>
          <w:rFonts w:hint="eastAsia" w:ascii="宋体" w:hAnsi="宋体" w:cs="宋体"/>
          <w:highlight w:val="none"/>
          <w:lang w:eastAsia="zh-CN"/>
        </w:rPr>
        <w:t>响应文件</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3"/>
        <w:rPr>
          <w:rFonts w:hint="eastAsia" w:ascii="宋体" w:hAnsi="宋体" w:eastAsia="宋体" w:cs="宋体"/>
          <w:highlight w:val="none"/>
        </w:rPr>
      </w:pPr>
      <w:bookmarkStart w:id="63" w:name="_Toc21425665"/>
      <w:bookmarkStart w:id="64" w:name="_Toc98942900"/>
      <w:r>
        <w:rPr>
          <w:rFonts w:hint="eastAsia" w:ascii="宋体" w:hAnsi="宋体" w:eastAsia="宋体" w:cs="宋体"/>
          <w:highlight w:val="none"/>
        </w:rPr>
        <w:t>四、评标</w:t>
      </w:r>
      <w:bookmarkEnd w:id="63"/>
      <w:bookmarkEnd w:id="64"/>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3"/>
        <w:rPr>
          <w:rFonts w:hint="eastAsia" w:ascii="宋体" w:hAnsi="宋体" w:eastAsia="宋体" w:cs="宋体"/>
          <w:highlight w:val="none"/>
        </w:rPr>
      </w:pPr>
      <w:bookmarkStart w:id="65" w:name="_Toc21425666"/>
      <w:bookmarkStart w:id="66" w:name="_Toc98942901"/>
      <w:r>
        <w:rPr>
          <w:rFonts w:hint="eastAsia" w:ascii="宋体" w:hAnsi="宋体" w:eastAsia="宋体" w:cs="宋体"/>
          <w:highlight w:val="none"/>
        </w:rPr>
        <w:t>五、定标</w:t>
      </w:r>
      <w:bookmarkEnd w:id="65"/>
      <w:bookmarkEnd w:id="66"/>
    </w:p>
    <w:p>
      <w:pPr>
        <w:pStyle w:val="6"/>
        <w:spacing w:line="400" w:lineRule="exact"/>
        <w:ind w:firstLine="480" w:firstLineChars="200"/>
        <w:rPr>
          <w:rFonts w:hint="eastAsia" w:ascii="宋体" w:hAnsi="宋体" w:eastAsia="宋体" w:cs="宋体"/>
          <w:sz w:val="24"/>
          <w:highlight w:val="none"/>
        </w:rPr>
      </w:pPr>
      <w:bookmarkStart w:id="67"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highlight w:val="none"/>
        </w:rPr>
      </w:pPr>
      <w:bookmarkStart w:id="68" w:name="_Toc98942902"/>
      <w:r>
        <w:rPr>
          <w:rFonts w:hint="eastAsia" w:ascii="宋体" w:hAnsi="宋体" w:eastAsia="宋体" w:cs="宋体"/>
          <w:highlight w:val="none"/>
        </w:rPr>
        <w:t>六、询问、质疑和投诉</w:t>
      </w:r>
      <w:bookmarkEnd w:id="67"/>
      <w:bookmarkEnd w:id="68"/>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highlight w:val="none"/>
        </w:rPr>
      </w:pPr>
      <w:bookmarkStart w:id="69" w:name="_Toc21425671"/>
      <w:bookmarkStart w:id="70" w:name="_Toc98942903"/>
      <w:r>
        <w:rPr>
          <w:rFonts w:hint="eastAsia" w:ascii="宋体" w:hAnsi="宋体" w:eastAsia="宋体" w:cs="宋体"/>
          <w:highlight w:val="none"/>
        </w:rPr>
        <w:t>七、签订合同</w:t>
      </w:r>
      <w:bookmarkEnd w:id="69"/>
      <w:bookmarkEnd w:id="70"/>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1" w:name="_Toc509321006"/>
      <w:bookmarkStart w:id="72"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2"/>
        <w:spacing w:line="360" w:lineRule="auto"/>
        <w:rPr>
          <w:rFonts w:hint="eastAsia" w:ascii="宋体" w:hAnsi="宋体" w:eastAsia="宋体" w:cs="宋体"/>
          <w:highlight w:val="none"/>
        </w:rPr>
      </w:pPr>
      <w:bookmarkStart w:id="73"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1"/>
      <w:r>
        <w:rPr>
          <w:rFonts w:hint="eastAsia" w:ascii="宋体" w:hAnsi="宋体" w:eastAsia="宋体" w:cs="宋体"/>
          <w:highlight w:val="none"/>
        </w:rPr>
        <w:t>要求</w:t>
      </w:r>
      <w:bookmarkEnd w:id="72"/>
      <w:bookmarkEnd w:id="73"/>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default" w:eastAsia="宋体"/>
          <w:sz w:val="52"/>
          <w:szCs w:val="52"/>
          <w:highlight w:val="none"/>
          <w:lang w:val="en-US" w:eastAsia="zh-CN"/>
        </w:rPr>
      </w:pPr>
      <w:r>
        <w:rPr>
          <w:rFonts w:hint="eastAsia"/>
          <w:sz w:val="52"/>
          <w:szCs w:val="52"/>
          <w:highlight w:val="none"/>
        </w:rPr>
        <w:t>项目编号：</w:t>
      </w:r>
      <w:r>
        <w:rPr>
          <w:rFonts w:hint="eastAsia"/>
          <w:sz w:val="52"/>
          <w:szCs w:val="52"/>
          <w:highlight w:val="none"/>
          <w:lang w:val="en-US" w:eastAsia="zh-CN"/>
        </w:rPr>
        <w:t xml:space="preserve">            分包号：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4" w:name="_Toc19113861"/>
      <w:bookmarkStart w:id="75" w:name="_Toc509321007"/>
      <w:bookmarkStart w:id="76" w:name="_Toc429584884"/>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bookmarkStart w:id="77" w:name="_Toc98942905"/>
      <w:r>
        <w:rPr>
          <w:rFonts w:hint="eastAsia"/>
          <w:szCs w:val="28"/>
          <w:highlight w:val="none"/>
        </w:rPr>
        <w:br w:type="page"/>
      </w:r>
    </w:p>
    <w:p>
      <w:pPr>
        <w:pStyle w:val="3"/>
        <w:rPr>
          <w:szCs w:val="28"/>
          <w:highlight w:val="none"/>
        </w:rPr>
      </w:pPr>
      <w:r>
        <w:rPr>
          <w:rFonts w:hint="eastAsia"/>
          <w:szCs w:val="28"/>
          <w:highlight w:val="none"/>
        </w:rPr>
        <w:t>一、经济文件</w:t>
      </w:r>
      <w:bookmarkEnd w:id="74"/>
      <w:bookmarkEnd w:id="75"/>
      <w:bookmarkEnd w:id="76"/>
      <w:bookmarkEnd w:id="77"/>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3"/>
        <w:rPr>
          <w:highlight w:val="none"/>
        </w:rPr>
      </w:pPr>
      <w:bookmarkStart w:id="78" w:name="_Toc98942906"/>
      <w:r>
        <w:rPr>
          <w:rFonts w:hint="eastAsia"/>
          <w:highlight w:val="none"/>
        </w:rPr>
        <w:t>二、技术文件</w:t>
      </w:r>
      <w:bookmarkEnd w:id="78"/>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79"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0" w:name="_Toc19113863"/>
            <w:r>
              <w:rPr>
                <w:rFonts w:hint="eastAsia" w:hAnsi="宋体" w:cs="宋体"/>
                <w:sz w:val="28"/>
                <w:szCs w:val="28"/>
                <w:highlight w:val="none"/>
              </w:rPr>
              <w:t>序号</w:t>
            </w:r>
            <w:bookmarkEnd w:id="80"/>
          </w:p>
        </w:tc>
        <w:tc>
          <w:tcPr>
            <w:tcW w:w="2428" w:type="dxa"/>
            <w:vAlign w:val="center"/>
          </w:tcPr>
          <w:p>
            <w:pPr>
              <w:spacing w:line="360" w:lineRule="auto"/>
              <w:jc w:val="center"/>
              <w:rPr>
                <w:rFonts w:hAnsi="宋体" w:cs="宋体"/>
                <w:sz w:val="28"/>
                <w:szCs w:val="28"/>
                <w:highlight w:val="none"/>
              </w:rPr>
            </w:pPr>
            <w:bookmarkStart w:id="81" w:name="_Toc19113864"/>
            <w:r>
              <w:rPr>
                <w:rFonts w:hint="eastAsia" w:hAnsi="宋体" w:cs="宋体"/>
                <w:sz w:val="28"/>
                <w:szCs w:val="28"/>
                <w:highlight w:val="none"/>
              </w:rPr>
              <w:t>招标要求</w:t>
            </w:r>
            <w:bookmarkEnd w:id="81"/>
          </w:p>
        </w:tc>
        <w:tc>
          <w:tcPr>
            <w:tcW w:w="2520" w:type="dxa"/>
            <w:vAlign w:val="center"/>
          </w:tcPr>
          <w:p>
            <w:pPr>
              <w:spacing w:line="360" w:lineRule="auto"/>
              <w:jc w:val="center"/>
              <w:rPr>
                <w:rFonts w:hAnsi="宋体" w:cs="宋体"/>
                <w:sz w:val="28"/>
                <w:szCs w:val="28"/>
                <w:highlight w:val="none"/>
              </w:rPr>
            </w:pPr>
            <w:bookmarkStart w:id="82" w:name="_Toc19113865"/>
            <w:r>
              <w:rPr>
                <w:rFonts w:hint="eastAsia" w:hAnsi="宋体" w:cs="宋体"/>
                <w:sz w:val="28"/>
                <w:szCs w:val="28"/>
                <w:highlight w:val="none"/>
              </w:rPr>
              <w:t>投标应答</w:t>
            </w:r>
            <w:bookmarkEnd w:id="82"/>
          </w:p>
        </w:tc>
        <w:tc>
          <w:tcPr>
            <w:tcW w:w="1888" w:type="dxa"/>
            <w:vAlign w:val="center"/>
          </w:tcPr>
          <w:p>
            <w:pPr>
              <w:spacing w:line="360" w:lineRule="auto"/>
              <w:jc w:val="center"/>
              <w:rPr>
                <w:rFonts w:hAnsi="宋体" w:cs="宋体"/>
                <w:sz w:val="28"/>
                <w:szCs w:val="28"/>
                <w:highlight w:val="none"/>
              </w:rPr>
            </w:pPr>
            <w:bookmarkStart w:id="83" w:name="_Toc19113866"/>
            <w:r>
              <w:rPr>
                <w:rFonts w:hint="eastAsia" w:hAnsi="宋体" w:cs="宋体"/>
                <w:sz w:val="28"/>
                <w:szCs w:val="28"/>
                <w:highlight w:val="none"/>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r>
              <w:rPr>
                <w:rFonts w:hint="eastAsia" w:ascii="宋体" w:hAnsi="宋体" w:cs="宋体"/>
                <w:color w:val="auto"/>
                <w:sz w:val="21"/>
                <w:szCs w:val="21"/>
                <w:highlight w:val="none"/>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4" w:name="_Toc509321009"/>
      <w:bookmarkStart w:id="85" w:name="_Toc19113867"/>
      <w:bookmarkStart w:id="86" w:name="_Toc493178791"/>
      <w:bookmarkStart w:id="87" w:name="_Toc49272103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bookmarkStart w:id="88" w:name="_Toc98942907"/>
      <w:r>
        <w:rPr>
          <w:rFonts w:hint="eastAsia"/>
          <w:highlight w:val="none"/>
        </w:rPr>
        <w:t>三、商务文件</w:t>
      </w:r>
      <w:bookmarkEnd w:id="84"/>
      <w:bookmarkEnd w:id="85"/>
      <w:bookmarkEnd w:id="86"/>
      <w:bookmarkEnd w:id="87"/>
      <w:bookmarkEnd w:id="88"/>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89" w:name="_Toc19113868"/>
      <w:r>
        <w:rPr>
          <w:rFonts w:hint="eastAsia" w:hAnsi="宋体" w:cs="宋体"/>
          <w:sz w:val="28"/>
          <w:szCs w:val="28"/>
          <w:highlight w:val="none"/>
        </w:rPr>
        <w:t>（二）商务条款差异表</w:t>
      </w:r>
      <w:bookmarkEnd w:id="89"/>
    </w:p>
    <w:p>
      <w:pPr>
        <w:spacing w:line="360" w:lineRule="auto"/>
        <w:jc w:val="left"/>
        <w:rPr>
          <w:rFonts w:hAnsi="宋体" w:cs="宋体"/>
          <w:sz w:val="28"/>
          <w:szCs w:val="28"/>
          <w:highlight w:val="none"/>
        </w:rPr>
      </w:pPr>
      <w:bookmarkStart w:id="90"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1" w:name="_Toc19113870"/>
            <w:r>
              <w:rPr>
                <w:rFonts w:hint="eastAsia" w:hAnsi="宋体" w:cs="宋体"/>
                <w:sz w:val="28"/>
                <w:szCs w:val="28"/>
                <w:highlight w:val="none"/>
              </w:rPr>
              <w:t>序号</w:t>
            </w:r>
            <w:bookmarkEnd w:id="91"/>
          </w:p>
        </w:tc>
        <w:tc>
          <w:tcPr>
            <w:tcW w:w="2428" w:type="dxa"/>
            <w:vAlign w:val="center"/>
          </w:tcPr>
          <w:p>
            <w:pPr>
              <w:spacing w:line="360" w:lineRule="auto"/>
              <w:jc w:val="center"/>
              <w:rPr>
                <w:rFonts w:hAnsi="宋体" w:cs="宋体"/>
                <w:sz w:val="28"/>
                <w:szCs w:val="28"/>
                <w:highlight w:val="none"/>
              </w:rPr>
            </w:pPr>
            <w:bookmarkStart w:id="92" w:name="_Toc19113871"/>
            <w:r>
              <w:rPr>
                <w:rFonts w:hint="eastAsia" w:hAnsi="宋体" w:cs="宋体"/>
                <w:sz w:val="28"/>
                <w:szCs w:val="28"/>
                <w:highlight w:val="none"/>
              </w:rPr>
              <w:t>招标商务要求</w:t>
            </w:r>
            <w:bookmarkEnd w:id="92"/>
          </w:p>
        </w:tc>
        <w:tc>
          <w:tcPr>
            <w:tcW w:w="2520" w:type="dxa"/>
            <w:vAlign w:val="center"/>
          </w:tcPr>
          <w:p>
            <w:pPr>
              <w:spacing w:line="360" w:lineRule="auto"/>
              <w:jc w:val="center"/>
              <w:rPr>
                <w:rFonts w:hAnsi="宋体" w:cs="宋体"/>
                <w:sz w:val="28"/>
                <w:szCs w:val="28"/>
                <w:highlight w:val="none"/>
              </w:rPr>
            </w:pPr>
            <w:bookmarkStart w:id="93" w:name="_Toc19113872"/>
            <w:r>
              <w:rPr>
                <w:rFonts w:hint="eastAsia" w:hAnsi="宋体" w:cs="宋体"/>
                <w:sz w:val="28"/>
                <w:szCs w:val="28"/>
                <w:highlight w:val="none"/>
              </w:rPr>
              <w:t>投标商务应答</w:t>
            </w:r>
            <w:bookmarkEnd w:id="93"/>
          </w:p>
        </w:tc>
        <w:tc>
          <w:tcPr>
            <w:tcW w:w="1888" w:type="dxa"/>
            <w:vAlign w:val="center"/>
          </w:tcPr>
          <w:p>
            <w:pPr>
              <w:spacing w:line="360" w:lineRule="auto"/>
              <w:jc w:val="center"/>
              <w:rPr>
                <w:rFonts w:hAnsi="宋体" w:cs="宋体"/>
                <w:sz w:val="28"/>
                <w:szCs w:val="28"/>
                <w:highlight w:val="none"/>
              </w:rPr>
            </w:pPr>
            <w:bookmarkStart w:id="94" w:name="_Toc19113873"/>
            <w:r>
              <w:rPr>
                <w:rFonts w:hint="eastAsia" w:hAnsi="宋体" w:cs="宋体"/>
                <w:sz w:val="28"/>
                <w:szCs w:val="28"/>
                <w:highlight w:val="none"/>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r>
              <w:rPr>
                <w:rFonts w:hint="eastAsia" w:ascii="宋体" w:hAnsi="宋体" w:cs="宋体"/>
                <w:color w:val="auto"/>
                <w:sz w:val="21"/>
                <w:szCs w:val="21"/>
                <w:highlight w:val="none"/>
              </w:rPr>
              <w:t>提醒：请注明</w:t>
            </w:r>
            <w:r>
              <w:rPr>
                <w:rFonts w:hint="eastAsia" w:ascii="宋体" w:hAnsi="宋体" w:cs="宋体"/>
                <w:color w:val="auto"/>
                <w:sz w:val="21"/>
                <w:szCs w:val="21"/>
                <w:highlight w:val="none"/>
                <w:lang w:eastAsia="zh-CN"/>
              </w:rPr>
              <w:t>对商务要求应答的</w:t>
            </w:r>
            <w:r>
              <w:rPr>
                <w:rFonts w:hint="eastAsia" w:ascii="宋体" w:hAnsi="宋体" w:cs="宋体"/>
                <w:color w:val="auto"/>
                <w:sz w:val="21"/>
                <w:szCs w:val="21"/>
                <w:highlight w:val="none"/>
              </w:rPr>
              <w:t>具体内容以及投标文件中</w:t>
            </w:r>
            <w:r>
              <w:rPr>
                <w:rFonts w:hint="eastAsia" w:ascii="宋体" w:hAnsi="宋体" w:cs="宋体"/>
                <w:color w:val="auto"/>
                <w:sz w:val="21"/>
                <w:szCs w:val="21"/>
                <w:highlight w:val="none"/>
                <w:lang w:eastAsia="zh-CN"/>
              </w:rPr>
              <w:t>对商务要求应答的</w:t>
            </w:r>
            <w:r>
              <w:rPr>
                <w:rFonts w:hint="eastAsia" w:ascii="宋体" w:hAnsi="宋体" w:cs="宋体"/>
                <w:color w:val="auto"/>
                <w:sz w:val="21"/>
                <w:szCs w:val="21"/>
                <w:highlight w:val="none"/>
              </w:rPr>
              <w:t>具体内容的位置（页码）</w:t>
            </w: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5" w:name="_Toc19113874"/>
      <w:r>
        <w:rPr>
          <w:rFonts w:hint="eastAsia"/>
          <w:highlight w:val="none"/>
        </w:rPr>
        <w:t>（三）商务条款相关支撑资料</w:t>
      </w:r>
      <w:bookmarkEnd w:id="95"/>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6" w:name="_Toc493178792"/>
      <w:bookmarkStart w:id="97" w:name="_Toc492721041"/>
      <w:bookmarkStart w:id="98" w:name="_Toc509321010"/>
      <w:bookmarkStart w:id="99"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3"/>
        <w:rPr>
          <w:highlight w:val="none"/>
        </w:rPr>
      </w:pPr>
      <w:bookmarkStart w:id="100" w:name="_Toc98942908"/>
      <w:r>
        <w:rPr>
          <w:rFonts w:hint="eastAsia"/>
          <w:highlight w:val="none"/>
        </w:rPr>
        <w:t>四、</w:t>
      </w:r>
      <w:bookmarkEnd w:id="96"/>
      <w:bookmarkEnd w:id="97"/>
      <w:bookmarkEnd w:id="98"/>
      <w:r>
        <w:rPr>
          <w:rFonts w:hint="eastAsia"/>
          <w:highlight w:val="none"/>
        </w:rPr>
        <w:t>其他与项目有关的资料（自附）</w:t>
      </w:r>
      <w:bookmarkEnd w:id="99"/>
      <w:bookmarkEnd w:id="100"/>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3"/>
        <w:rPr>
          <w:highlight w:val="none"/>
        </w:rPr>
      </w:pPr>
      <w:bookmarkStart w:id="101" w:name="_Toc19113880"/>
      <w:bookmarkStart w:id="102" w:name="_Toc492721038"/>
      <w:bookmarkStart w:id="103" w:name="_Toc509321011"/>
      <w:bookmarkStart w:id="104" w:name="_Toc98942909"/>
      <w:bookmarkStart w:id="105" w:name="_Toc493178793"/>
      <w:r>
        <w:rPr>
          <w:rFonts w:hint="eastAsia"/>
          <w:highlight w:val="none"/>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1863BB5"/>
    <w:rsid w:val="05623B69"/>
    <w:rsid w:val="08B13181"/>
    <w:rsid w:val="18FB77EA"/>
    <w:rsid w:val="1F9217FC"/>
    <w:rsid w:val="268776E1"/>
    <w:rsid w:val="278C6EA4"/>
    <w:rsid w:val="2FC711D4"/>
    <w:rsid w:val="3B3E4ECF"/>
    <w:rsid w:val="42560538"/>
    <w:rsid w:val="45E33D3F"/>
    <w:rsid w:val="4FC11690"/>
    <w:rsid w:val="50DA7B55"/>
    <w:rsid w:val="5B7550D9"/>
    <w:rsid w:val="5FD155AA"/>
    <w:rsid w:val="61752B24"/>
    <w:rsid w:val="62425F74"/>
    <w:rsid w:val="63071A4D"/>
    <w:rsid w:val="65B00F3F"/>
    <w:rsid w:val="674C7A04"/>
    <w:rsid w:val="6D3E38DD"/>
    <w:rsid w:val="716167CC"/>
    <w:rsid w:val="75B24EF7"/>
    <w:rsid w:val="7A60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14545</Words>
  <Characters>15217</Characters>
  <Lines>0</Lines>
  <Paragraphs>0</Paragraphs>
  <TotalTime>2</TotalTime>
  <ScaleCrop>false</ScaleCrop>
  <LinksUpToDate>false</LinksUpToDate>
  <CharactersWithSpaces>16071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2025-04-10T08:18:29Z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3E3B554308D244C9AB8465427BAC9552_13</vt:lpwstr>
  </property>
</Properties>
</file>