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19</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23</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杨</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88860156</w:t>
      </w:r>
      <w:r>
        <w:rPr>
          <w:rFonts w:hint="eastAsia" w:cs="Tahoma" w:asciiTheme="minorEastAsia" w:hAnsiTheme="minorEastAsia"/>
          <w:b/>
          <w:color w:val="333333"/>
          <w:sz w:val="28"/>
          <w:szCs w:val="28"/>
          <w:shd w:val="clear" w:color="auto" w:fill="FFFFFF"/>
        </w:rPr>
        <w:t>。</w:t>
      </w:r>
    </w:p>
    <w:p>
      <w:pPr>
        <w:jc w:val="center"/>
        <w:rPr>
          <w:rFonts w:hint="default"/>
          <w:b/>
          <w:color w:val="FF0000"/>
          <w:sz w:val="28"/>
          <w:szCs w:val="28"/>
          <w:lang w:val="en-US" w:eastAsia="zh-CN"/>
        </w:rPr>
      </w:pPr>
      <w:r>
        <w:rPr>
          <w:rFonts w:hint="eastAsia" w:ascii="Calibri" w:hAnsi="Calibri" w:eastAsia="宋体" w:cs="Times New Roman"/>
          <w:b/>
          <w:color w:val="000000"/>
          <w:sz w:val="28"/>
          <w:szCs w:val="28"/>
          <w:lang w:val="en-US" w:eastAsia="zh-CN"/>
        </w:rPr>
        <w:t>1批医疗设备采购清单</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435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品名（规格）</w:t>
            </w:r>
          </w:p>
        </w:tc>
        <w:tc>
          <w:tcPr>
            <w:tcW w:w="268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种植动度测量仪</w:t>
            </w:r>
          </w:p>
        </w:tc>
        <w:tc>
          <w:tcPr>
            <w:tcW w:w="2687" w:type="dxa"/>
            <w:shd w:val="clear" w:color="000000"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rPr>
            </w:pPr>
            <w:r>
              <w:rPr>
                <w:rFonts w:hint="eastAsia" w:ascii="宋体" w:hAnsi="宋体" w:eastAsia="宋体" w:cs="宋体"/>
                <w:i w:val="0"/>
                <w:iCs w:val="0"/>
                <w:color w:val="000000"/>
                <w:kern w:val="0"/>
                <w:sz w:val="24"/>
                <w:szCs w:val="24"/>
                <w:u w:val="none"/>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监护仪</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bookmarkStart w:id="0" w:name="_GoBack" w:colFirst="1" w:colLast="1"/>
            <w:r>
              <w:rPr>
                <w:rFonts w:hint="eastAsia" w:asciiTheme="minorEastAsia" w:hAnsiTheme="minorEastAsia" w:cstheme="minorEastAsia"/>
                <w:color w:val="000000"/>
                <w:kern w:val="0"/>
                <w:sz w:val="21"/>
                <w:szCs w:val="21"/>
                <w:lang w:val="en-US" w:eastAsia="zh-CN"/>
              </w:rPr>
              <w:t>3</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监护仪</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超声骨刀</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5</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种植机</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8台</w:t>
            </w:r>
          </w:p>
        </w:tc>
      </w:tr>
      <w:bookmarkEnd w:id="0"/>
    </w:tbl>
    <w:p>
      <w:pPr>
        <w:jc w:val="left"/>
        <w:rPr>
          <w:rFonts w:hint="eastAsia"/>
          <w:b/>
          <w:color w:val="FF0000"/>
          <w:sz w:val="28"/>
          <w:szCs w:val="28"/>
          <w:lang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设备一  </w:t>
      </w:r>
      <w:r>
        <w:rPr>
          <w:rFonts w:hint="eastAsia" w:ascii="Calibri" w:hAnsi="Calibri" w:eastAsia="宋体" w:cs="Times New Roman"/>
          <w:b/>
          <w:color w:val="000000"/>
          <w:sz w:val="28"/>
          <w:szCs w:val="28"/>
          <w:u w:val="single"/>
          <w:lang w:val="en-US" w:eastAsia="zh-CN"/>
        </w:rPr>
        <w:t>3套种植动度测量仪</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506" w:type="dxa"/>
            <w:vAlign w:val="center"/>
          </w:tcPr>
          <w:p>
            <w:pPr>
              <w:tabs>
                <w:tab w:val="left" w:pos="6300"/>
              </w:tabs>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技术参数</w:t>
            </w:r>
          </w:p>
        </w:tc>
        <w:tc>
          <w:tcPr>
            <w:tcW w:w="1379" w:type="dxa"/>
            <w:vAlign w:val="center"/>
          </w:tcPr>
          <w:p>
            <w:pPr>
              <w:tabs>
                <w:tab w:val="left" w:pos="6300"/>
              </w:tabs>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506" w:type="dxa"/>
            <w:vAlign w:val="center"/>
          </w:tcPr>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1.基本要求（产品临床用途）：用于口腔及颅内区域测量种植体及基台的稳固度</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2.工作方式：检测仪是将配套的感应器附着在种植体或种植体基台上。通过手持式检测仪上的测量探针头部产生的磁性脉冲波来激活感应器。感应器会产生特有频率，根据频率的不同来分析种植体在骨组织里的稳固程度。</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3.结果显示：共振频率的结果转换成1~100的数值显示在测量仪屏幕上。</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4.结果显示提示：LED灯颜色显示高稳定性、中稳定性、低稳定性。</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5.准确度：一个单独感应器的ISQ准确度≤±0.5ISQ单位。在不同的感应器之间，包含附属扭矩的变异和个体变异，其准确度在≤±2ISQ单位。</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6.电池：锂电池</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7.耗材：设备使用过程中，所需耗材单独报价</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8.配置要求：主机1，扳手1，测试柱1，数据线1，蓝牙1，及其他标配附件</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9.质保：≥3年（常用耗材单独报价）</w:t>
            </w:r>
          </w:p>
        </w:tc>
        <w:tc>
          <w:tcPr>
            <w:tcW w:w="1379" w:type="dxa"/>
            <w:vAlign w:val="center"/>
          </w:tcPr>
          <w:p>
            <w:pPr>
              <w:tabs>
                <w:tab w:val="left" w:pos="6300"/>
              </w:tabs>
              <w:snapToGrid w:val="0"/>
              <w:jc w:val="left"/>
              <w:rPr>
                <w:rFonts w:hint="eastAsia" w:ascii="宋体" w:hAnsi="宋体" w:eastAsia="宋体" w:cs="宋体"/>
                <w:sz w:val="24"/>
                <w:szCs w:val="24"/>
              </w:rPr>
            </w:pPr>
          </w:p>
        </w:tc>
      </w:tr>
    </w:tbl>
    <w:p>
      <w:pPr>
        <w:pStyle w:val="2"/>
        <w:rPr>
          <w:rFonts w:hint="eastAsia"/>
          <w:lang w:eastAsia="zh-CN"/>
        </w:rPr>
      </w:pPr>
    </w:p>
    <w:p>
      <w:pPr>
        <w:rPr>
          <w:rFonts w:hint="eastAsia"/>
          <w:lang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rPr>
          <w:rFonts w:hint="eastAsia" w:ascii="Calibri" w:hAnsi="Calibri" w:eastAsia="宋体" w:cs="Times New Roman"/>
          <w:b/>
          <w:color w:val="000000"/>
          <w:sz w:val="28"/>
          <w:szCs w:val="28"/>
          <w:u w:val="none"/>
          <w:lang w:val="en-US" w:eastAsia="zh-CN"/>
        </w:rPr>
      </w:pPr>
      <w:r>
        <w:rPr>
          <w:rFonts w:hint="eastAsia" w:ascii="Calibri" w:hAnsi="Calibri" w:eastAsia="宋体" w:cs="Times New Roman"/>
          <w:b/>
          <w:color w:val="000000"/>
          <w:sz w:val="28"/>
          <w:szCs w:val="28"/>
          <w:u w:val="none"/>
          <w:lang w:val="en-US"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设备二  </w:t>
      </w:r>
      <w:r>
        <w:rPr>
          <w:rFonts w:hint="eastAsia" w:ascii="Calibri" w:hAnsi="Calibri" w:eastAsia="宋体" w:cs="Times New Roman"/>
          <w:b/>
          <w:color w:val="000000"/>
          <w:sz w:val="28"/>
          <w:szCs w:val="28"/>
          <w:u w:val="single"/>
          <w:lang w:val="en-US" w:eastAsia="zh-CN"/>
        </w:rPr>
        <w:t>2台监护仪</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453" w:type="dxa"/>
            <w:vAlign w:val="center"/>
          </w:tcPr>
          <w:p>
            <w:pPr>
              <w:tabs>
                <w:tab w:val="left" w:pos="6300"/>
              </w:tabs>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技术参数</w:t>
            </w:r>
          </w:p>
        </w:tc>
        <w:tc>
          <w:tcPr>
            <w:tcW w:w="1432" w:type="dxa"/>
            <w:vAlign w:val="center"/>
          </w:tcPr>
          <w:p>
            <w:pPr>
              <w:tabs>
                <w:tab w:val="left" w:pos="6300"/>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453" w:type="dxa"/>
            <w:vAlign w:val="center"/>
          </w:tcPr>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1.硬件结构：配置≥12寸彩色触摸屏，标配锂电池。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2.基本参数：心电、呼吸、血氧饱和度、无创血压、脉搏、双通道体温功能，支持双体温同时测量；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3.数据存储：≥150小时趋势图表存储与回顾功能，≥30分钟心电监护导联波形存储回放功能，≥1000组报警事件，≥2000组无创血压测量数。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4.界面：具有常规界面、大字体界面、呼吸氧合图、NIBP回顾、7导同屏等。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5.心电导联方式：具备3导5导心电切换功能。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6.无创血压测量：提供手动、自动等多种测量模式。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7.药物计算功能：血液动力学计算，肾功能计算，血压监测统计，心率统计，脉率统计。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8.记录功能：实时记录、定时记录、生理报警记录、趋势图回顾记录、趋势表回顾记录、血压回顾记录、报警回顾记录，夜间模式，待机模式，隐私模式多种模式和记录功能，波形和参数页面可转换模式，支持掉电保存病人数据信息查看功能。 </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9.可插拔锂电池，电池供电时间≥120分钟。</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10.配置要求：监护仪主机1台，心电附件包1套，血氧探头1套，无创血压附件1套，内置锂电池1块等。</w:t>
            </w:r>
          </w:p>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11.质保：≥3年（常用耗材单独报价）</w:t>
            </w:r>
          </w:p>
        </w:tc>
        <w:tc>
          <w:tcPr>
            <w:tcW w:w="1432" w:type="dxa"/>
            <w:vAlign w:val="center"/>
          </w:tcPr>
          <w:p>
            <w:pPr>
              <w:tabs>
                <w:tab w:val="left" w:pos="6300"/>
              </w:tabs>
              <w:snapToGrid w:val="0"/>
              <w:jc w:val="left"/>
              <w:rPr>
                <w:rFonts w:hint="eastAsia" w:ascii="宋体" w:hAnsi="宋体" w:eastAsia="宋体" w:cs="宋体"/>
                <w:sz w:val="24"/>
                <w:szCs w:val="24"/>
              </w:rPr>
            </w:pPr>
          </w:p>
        </w:tc>
      </w:tr>
    </w:tbl>
    <w:p>
      <w:pPr>
        <w:rPr>
          <w:rFonts w:hint="eastAsia"/>
          <w:lang w:eastAsia="zh-CN"/>
        </w:rPr>
      </w:pPr>
    </w:p>
    <w:p>
      <w:pPr>
        <w:pStyle w:val="2"/>
        <w:rPr>
          <w:rFonts w:hint="eastAsia"/>
          <w:lang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rPr>
          <w:rFonts w:hint="eastAsia" w:ascii="Calibri" w:hAnsi="Calibri" w:eastAsia="宋体" w:cs="Times New Roman"/>
          <w:b/>
          <w:color w:val="000000"/>
          <w:sz w:val="28"/>
          <w:szCs w:val="28"/>
          <w:u w:val="none"/>
          <w:lang w:val="en-US" w:eastAsia="zh-CN"/>
        </w:rPr>
      </w:pPr>
      <w:r>
        <w:rPr>
          <w:rFonts w:hint="eastAsia" w:ascii="Calibri" w:hAnsi="Calibri" w:eastAsia="宋体" w:cs="Times New Roman"/>
          <w:b/>
          <w:color w:val="000000"/>
          <w:sz w:val="28"/>
          <w:szCs w:val="28"/>
          <w:u w:val="none"/>
          <w:lang w:val="en-US"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设备三  4台</w:t>
      </w:r>
      <w:r>
        <w:rPr>
          <w:rFonts w:hint="eastAsia" w:ascii="Calibri" w:hAnsi="Calibri" w:eastAsia="宋体" w:cs="Times New Roman"/>
          <w:b/>
          <w:color w:val="000000"/>
          <w:sz w:val="28"/>
          <w:szCs w:val="28"/>
          <w:u w:val="single"/>
          <w:lang w:val="en-US" w:eastAsia="zh-CN"/>
        </w:rPr>
        <w:t>监护仪</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3"/>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413" w:type="dxa"/>
            <w:vAlign w:val="center"/>
          </w:tcPr>
          <w:p>
            <w:pPr>
              <w:tabs>
                <w:tab w:val="left" w:pos="6300"/>
              </w:tabs>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技术参数</w:t>
            </w:r>
          </w:p>
        </w:tc>
        <w:tc>
          <w:tcPr>
            <w:tcW w:w="1472" w:type="dxa"/>
            <w:vAlign w:val="center"/>
          </w:tcPr>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41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插件式病人监护仪，≥12英寸彩色电容触摸屏，主机插槽数≥2个，主机标配心电、血氧、无创血压等参数。支持升级选配有创心排量（C.O.）、二氧化碳（CO2）、麻醉气体（AG）等功能，支持热插拔到主机插槽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2.支持≥3通道ECG心电波形同步分析（非3/5/12导联监测），可进行多导心电同步分析。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3.监护仪清洁消毒维护支持的消毒剂≥45种，以便支持更多临床使用场景。（提供说明书或检验报告证明文件）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4.支持选配患者下床移动监护功能，提供医用级穿戴传感器，可监测心电、呼吸、无创血压、血氧饱和度、脉搏参数，穿戴传感器支持健康参数监测，可监测患者静息时间、运动时间、疼痛评分，支持患者4种状态的识别，包括：睡眠，休息，运动和跌倒，监测数据通过无线发送至监护仪。（提供说明书或检验报告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5.具备参数组合报警功能，可对患者同时多个参数变化给出统一报警提示，更好地反映病人状态，提供≥10个预设组合报警，并允许自定义≥10个组合报警。（提供说明书或彩页资料等证明文件）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6.支持房颤及室上性心律失常分析功能，如：室上性心动过速，SVCs/min等，标配支持≥27种实时心律失常分析。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7.心电监测具有QT/QTc实时连续测量功能，测量范围：200～800 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8.提供呼吸测量，适用于成人、小儿和新生儿，呼吸测量范围覆盖：0-200 rpm。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9.无创血压成人测量范围覆盖：收缩压25~290mmHg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10.选配的穿戴模块采用防水抗摔设计，防水等级≥IPX2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11.支持≥120小时（分辨率1分钟）ST模板存储与回顾，支持带ABD事件的呼吸氧合界面。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12.支持选配房颤概览功能，可显示当前病人持续 30 秒以上的房颤事件的统计信息和生命体征参数趋势。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13.提供目标监测界面，能够显示ECG、SpO2、IBP等多种参数测量值和波形；目标监测界面至少包括目标参数区、参数列表区、目标参数统计区、目标参数趋势区等，目标参数统计区与目标参数趋势区相互联动。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14.具有报警升级功能，当参数报警经过一定的时间未被处理或伴发了其他报警，就会升级到更高一个级别，并支持根据病人的参数趋势变化，可自动推送HR/PR、 SpO2、 RR 等参数的报警限建议。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15.可插拔锂电池，电池供电时间≥120分钟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16.监护仪主机1台，心电附件包1套，血氧探头1套，无创血压附件1套，内置锂电池1块等。</w:t>
            </w:r>
          </w:p>
          <w:p>
            <w:pPr>
              <w:tabs>
                <w:tab w:val="left" w:pos="6300"/>
              </w:tabs>
              <w:snapToGrid w:val="0"/>
              <w:jc w:val="left"/>
              <w:rPr>
                <w:rFonts w:hint="eastAsia" w:ascii="宋体" w:hAnsi="宋体" w:eastAsia="宋体" w:cs="宋体"/>
                <w:sz w:val="24"/>
                <w:szCs w:val="24"/>
              </w:rPr>
            </w:pPr>
            <w:r>
              <w:rPr>
                <w:rFonts w:hint="eastAsia"/>
                <w:sz w:val="24"/>
                <w:szCs w:val="24"/>
              </w:rPr>
              <w:t>17.质保：≥3年（常用耗材单独报价）</w:t>
            </w:r>
          </w:p>
        </w:tc>
        <w:tc>
          <w:tcPr>
            <w:tcW w:w="1472" w:type="dxa"/>
            <w:vAlign w:val="center"/>
          </w:tcPr>
          <w:p>
            <w:pPr>
              <w:tabs>
                <w:tab w:val="left" w:pos="6300"/>
              </w:tabs>
              <w:snapToGrid w:val="0"/>
              <w:jc w:val="left"/>
              <w:rPr>
                <w:rFonts w:hint="eastAsia" w:ascii="宋体" w:hAnsi="宋体" w:eastAsia="宋体" w:cs="宋体"/>
                <w:sz w:val="24"/>
                <w:szCs w:val="24"/>
              </w:rPr>
            </w:pPr>
          </w:p>
        </w:tc>
      </w:tr>
    </w:tbl>
    <w:p>
      <w:pPr>
        <w:rPr>
          <w:rFonts w:hint="eastAsia"/>
          <w:lang w:eastAsia="zh-CN"/>
        </w:rPr>
      </w:pPr>
    </w:p>
    <w:p>
      <w:pPr>
        <w:pStyle w:val="2"/>
        <w:rPr>
          <w:rFonts w:hint="eastAsia"/>
          <w:lang w:eastAsia="zh-CN"/>
        </w:rPr>
      </w:pPr>
    </w:p>
    <w:p>
      <w:pPr>
        <w:pStyle w:val="2"/>
        <w:rPr>
          <w:rFonts w:hint="eastAsia"/>
          <w:lang w:eastAsia="zh-CN"/>
        </w:rPr>
      </w:pPr>
    </w:p>
    <w:p>
      <w:pPr>
        <w:rPr>
          <w:rFonts w:hint="eastAsia" w:ascii="Calibri" w:hAnsi="Calibri" w:eastAsia="宋体" w:cs="Times New Roman"/>
          <w:b/>
          <w:color w:val="000000"/>
          <w:sz w:val="28"/>
          <w:szCs w:val="28"/>
          <w:lang w:val="en-US" w:eastAsia="zh-CN"/>
        </w:rPr>
      </w:pPr>
      <w:r>
        <w:rPr>
          <w:rFonts w:hint="eastAsia" w:ascii="Calibri" w:hAnsi="Calibri" w:eastAsia="宋体" w:cs="Times New Roman"/>
          <w:b/>
          <w:color w:val="000000"/>
          <w:sz w:val="28"/>
          <w:szCs w:val="28"/>
          <w:lang w:val="en-US" w:eastAsia="zh-CN"/>
        </w:rPr>
        <w:t xml:space="preserve"> </w:t>
      </w:r>
    </w:p>
    <w:p>
      <w:pPr>
        <w:rPr>
          <w:rFonts w:hint="eastAsia" w:ascii="Calibri" w:hAnsi="Calibri" w:eastAsia="宋体" w:cs="Times New Roman"/>
          <w:b/>
          <w:color w:val="000000"/>
          <w:sz w:val="28"/>
          <w:szCs w:val="28"/>
          <w:lang w:val="en-US" w:eastAsia="zh-CN"/>
        </w:rPr>
      </w:pPr>
      <w:r>
        <w:rPr>
          <w:rFonts w:hint="eastAsia" w:ascii="Calibri" w:hAnsi="Calibri" w:eastAsia="宋体" w:cs="Times New Roman"/>
          <w:b/>
          <w:color w:val="000000"/>
          <w:sz w:val="28"/>
          <w:szCs w:val="28"/>
          <w:lang w:val="en-US"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设备四  4台</w:t>
      </w:r>
      <w:r>
        <w:rPr>
          <w:rFonts w:hint="eastAsia" w:ascii="Calibri" w:hAnsi="Calibri" w:eastAsia="宋体" w:cs="Times New Roman"/>
          <w:b/>
          <w:color w:val="000000"/>
          <w:sz w:val="28"/>
          <w:szCs w:val="28"/>
          <w:u w:val="single"/>
          <w:lang w:val="en-US" w:eastAsia="zh-CN"/>
        </w:rPr>
        <w:t>超声骨刀</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680" w:type="dxa"/>
            <w:vAlign w:val="center"/>
          </w:tcPr>
          <w:p>
            <w:pPr>
              <w:tabs>
                <w:tab w:val="left" w:pos="6300"/>
              </w:tabs>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技术参数</w:t>
            </w:r>
          </w:p>
        </w:tc>
        <w:tc>
          <w:tcPr>
            <w:tcW w:w="1205" w:type="dxa"/>
            <w:vAlign w:val="center"/>
          </w:tcPr>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68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基本要求（产品临床用途）：用于骨切割、骨修整和骨收集等操作。设备通过压电陶瓷换能器将电能转换为机械能，利用高频振荡破坏骨组织，实现精准切割。其适用于多种口腔手术场景，如牙槽嵴扩张术、牙周刮治术、根尖手术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2.显示屏：≥7英寸彩色触控屏，中文显示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3.工作尖尖端主振幅：覆盖20~200μm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4.工作尖振动频率：覆盖24.0kHz~35.0kHz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5.工作尖尖端横向振幅：＜5μm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6.蠕动泵流量：覆盖30~110mL/min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7.一键增强功能：瞬时提高当前功率≥20%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8.灭菌要求：供水泵管可反复高温高压灭菌。手柄能耐134℃高温和0.22MPa高压消毒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9.功率控制：≥8档，每档功率对应骨密度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10.水量控：≥8档，显示输出流量速度数值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11.手柄水路：管道分离设计，可使用一次性输水管道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12.多功能脚踏：可控制模式，功率，水量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13.工作尖种类型号选择：骨切开工作尖型号≥10种，标配不低于4种。拔除术工作尖型号≥4种，标配不低于2种。（提供说明书或彩页资料等相关证明材料）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eastAsia="zh-CN"/>
              </w:rPr>
              <w:t>14.配置需求：配置接插式手柄（带光） 2支、多功能脚踏 1个、工作尖 14枚（中标后由临床选择）、工作尖不锈消毒盒 2个。</w:t>
            </w:r>
          </w:p>
          <w:p>
            <w:pPr>
              <w:tabs>
                <w:tab w:val="left" w:pos="6300"/>
              </w:tabs>
              <w:snapToGrid w:val="0"/>
              <w:jc w:val="left"/>
              <w:rPr>
                <w:rFonts w:hint="eastAsia" w:ascii="宋体" w:hAnsi="宋体" w:eastAsia="宋体" w:cs="宋体"/>
                <w:sz w:val="24"/>
                <w:szCs w:val="24"/>
              </w:rPr>
            </w:pPr>
            <w:r>
              <w:rPr>
                <w:rFonts w:hint="eastAsia"/>
                <w:sz w:val="24"/>
                <w:szCs w:val="24"/>
                <w:lang w:eastAsia="zh-CN"/>
              </w:rPr>
              <w:t>15.质保：≥3年（常用耗材单独报价）</w:t>
            </w:r>
          </w:p>
        </w:tc>
        <w:tc>
          <w:tcPr>
            <w:tcW w:w="1205" w:type="dxa"/>
            <w:vAlign w:val="center"/>
          </w:tcPr>
          <w:p>
            <w:pPr>
              <w:tabs>
                <w:tab w:val="left" w:pos="6300"/>
              </w:tabs>
              <w:snapToGrid w:val="0"/>
              <w:jc w:val="left"/>
              <w:rPr>
                <w:rFonts w:hint="eastAsia" w:ascii="宋体" w:hAnsi="宋体" w:eastAsia="宋体" w:cs="宋体"/>
                <w:sz w:val="24"/>
                <w:szCs w:val="24"/>
              </w:rPr>
            </w:pPr>
          </w:p>
        </w:tc>
      </w:tr>
    </w:tbl>
    <w:p>
      <w:pPr>
        <w:pStyle w:val="2"/>
        <w:rPr>
          <w:rFonts w:hint="eastAsia"/>
          <w:lang w:eastAsia="zh-CN"/>
        </w:rPr>
      </w:pPr>
    </w:p>
    <w:p>
      <w:pPr>
        <w:rPr>
          <w:rFonts w:hint="eastAsia"/>
          <w:lang w:eastAsia="zh-CN"/>
        </w:rPr>
      </w:pPr>
      <w:r>
        <w:rPr>
          <w:rFonts w:hint="eastAsia"/>
          <w:lang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设备五  8台</w:t>
      </w:r>
      <w:r>
        <w:rPr>
          <w:rFonts w:hint="eastAsia" w:ascii="Calibri" w:hAnsi="Calibri" w:eastAsia="宋体" w:cs="Times New Roman"/>
          <w:b/>
          <w:color w:val="000000"/>
          <w:sz w:val="28"/>
          <w:szCs w:val="28"/>
          <w:u w:val="single"/>
          <w:lang w:val="en-US" w:eastAsia="zh-CN"/>
        </w:rPr>
        <w:t>种植机</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680" w:type="dxa"/>
            <w:vAlign w:val="center"/>
          </w:tcPr>
          <w:p>
            <w:pPr>
              <w:tabs>
                <w:tab w:val="left" w:pos="6300"/>
              </w:tabs>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技术参数</w:t>
            </w:r>
          </w:p>
        </w:tc>
        <w:tc>
          <w:tcPr>
            <w:tcW w:w="1205" w:type="dxa"/>
            <w:vAlign w:val="center"/>
          </w:tcPr>
          <w:p>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680" w:type="dxa"/>
            <w:vAlign w:val="center"/>
          </w:tcPr>
          <w:p>
            <w:pPr>
              <w:tabs>
                <w:tab w:val="left" w:pos="6300"/>
              </w:tabs>
              <w:snapToGrid w:val="0"/>
              <w:jc w:val="left"/>
              <w:rPr>
                <w:rFonts w:hint="eastAsia" w:ascii="宋体" w:hAnsi="宋体" w:eastAsia="宋体" w:cs="宋体"/>
                <w:sz w:val="24"/>
                <w:szCs w:val="24"/>
              </w:rPr>
            </w:pPr>
            <w:r>
              <w:rPr>
                <w:rFonts w:hint="eastAsia"/>
                <w:sz w:val="24"/>
                <w:szCs w:val="24"/>
                <w:lang w:eastAsia="zh-CN"/>
              </w:rPr>
              <w:t>1.基本要求（产品临床用途）：用于种植手术，包括牙槽骨的准确定位、钻孔、成型、攻丝以及牙科种植体的植入和基台螺丝的锁紧等操作，能够满足不同牙科种植手术的需求，提高手术的精准度和效率。</w:t>
            </w:r>
            <w:r>
              <w:rPr>
                <w:rFonts w:hint="eastAsia"/>
                <w:sz w:val="24"/>
                <w:szCs w:val="24"/>
                <w:lang w:eastAsia="zh-CN"/>
              </w:rPr>
              <w:br w:type="textWrapping"/>
            </w:r>
            <w:r>
              <w:rPr>
                <w:rFonts w:hint="eastAsia"/>
                <w:sz w:val="24"/>
                <w:szCs w:val="24"/>
                <w:lang w:eastAsia="zh-CN"/>
              </w:rPr>
              <w:t>2.使用期限：≥6 年</w:t>
            </w:r>
            <w:r>
              <w:rPr>
                <w:rFonts w:hint="eastAsia"/>
                <w:sz w:val="24"/>
                <w:szCs w:val="24"/>
                <w:lang w:eastAsia="zh-CN"/>
              </w:rPr>
              <w:br w:type="textWrapping"/>
            </w:r>
            <w:r>
              <w:rPr>
                <w:rFonts w:hint="eastAsia"/>
                <w:sz w:val="24"/>
                <w:szCs w:val="24"/>
                <w:lang w:eastAsia="zh-CN"/>
              </w:rPr>
              <w:t>3.屏幕：≥7英寸彩色触摸屏</w:t>
            </w:r>
            <w:r>
              <w:rPr>
                <w:rFonts w:hint="eastAsia"/>
                <w:sz w:val="24"/>
                <w:szCs w:val="24"/>
                <w:lang w:eastAsia="zh-CN"/>
              </w:rPr>
              <w:br w:type="textWrapping"/>
            </w:r>
            <w:r>
              <w:rPr>
                <w:rFonts w:hint="eastAsia"/>
                <w:sz w:val="24"/>
                <w:szCs w:val="24"/>
                <w:lang w:eastAsia="zh-CN"/>
              </w:rPr>
              <w:t>4.适配机头：主机能适配1:1、1:2、1:3、1:4.2、1:5、16:1、20:1等多种不同转速比机头</w:t>
            </w:r>
            <w:r>
              <w:rPr>
                <w:rFonts w:hint="eastAsia"/>
                <w:sz w:val="24"/>
                <w:szCs w:val="24"/>
                <w:lang w:eastAsia="zh-CN"/>
              </w:rPr>
              <w:br w:type="textWrapping"/>
            </w:r>
            <w:r>
              <w:rPr>
                <w:rFonts w:hint="eastAsia"/>
                <w:sz w:val="24"/>
                <w:szCs w:val="24"/>
                <w:lang w:eastAsia="zh-CN"/>
              </w:rPr>
              <w:t>5.扭矩输出范围：覆盖6N'cm- 70N'cm</w:t>
            </w:r>
            <w:r>
              <w:rPr>
                <w:rFonts w:hint="eastAsia"/>
                <w:sz w:val="24"/>
                <w:szCs w:val="24"/>
                <w:lang w:eastAsia="zh-CN"/>
              </w:rPr>
              <w:br w:type="textWrapping"/>
            </w:r>
            <w:r>
              <w:rPr>
                <w:rFonts w:hint="eastAsia"/>
                <w:sz w:val="24"/>
                <w:szCs w:val="24"/>
                <w:lang w:eastAsia="zh-CN"/>
              </w:rPr>
              <w:t>6.微型马达：采用进口微型马达，进口轴承（提供彩页资料或说明书等证明材料）</w:t>
            </w:r>
            <w:r>
              <w:rPr>
                <w:rFonts w:hint="eastAsia"/>
                <w:sz w:val="24"/>
                <w:szCs w:val="24"/>
                <w:lang w:eastAsia="zh-CN"/>
              </w:rPr>
              <w:br w:type="textWrapping"/>
            </w:r>
            <w:r>
              <w:rPr>
                <w:rFonts w:hint="eastAsia"/>
                <w:sz w:val="24"/>
                <w:szCs w:val="24"/>
                <w:lang w:eastAsia="zh-CN"/>
              </w:rPr>
              <w:t>7.多功能脚踏：能实现水量控制、程序切换、正反转切换、转速控制等操作</w:t>
            </w:r>
            <w:r>
              <w:rPr>
                <w:rFonts w:hint="eastAsia"/>
                <w:sz w:val="24"/>
                <w:szCs w:val="24"/>
                <w:lang w:eastAsia="zh-CN"/>
              </w:rPr>
              <w:br w:type="textWrapping"/>
            </w:r>
            <w:r>
              <w:rPr>
                <w:rFonts w:hint="eastAsia"/>
                <w:sz w:val="24"/>
                <w:szCs w:val="24"/>
                <w:lang w:eastAsia="zh-CN"/>
              </w:rPr>
              <w:t>8.校准：每次开机自动进行扭力校准，无需额外操作</w:t>
            </w:r>
            <w:r>
              <w:rPr>
                <w:rFonts w:hint="eastAsia"/>
                <w:sz w:val="24"/>
                <w:szCs w:val="24"/>
                <w:lang w:eastAsia="zh-CN"/>
              </w:rPr>
              <w:br w:type="textWrapping"/>
            </w:r>
            <w:r>
              <w:rPr>
                <w:rFonts w:hint="eastAsia"/>
                <w:sz w:val="24"/>
                <w:szCs w:val="24"/>
                <w:lang w:eastAsia="zh-CN"/>
              </w:rPr>
              <w:t>9.报警功能：具备故障自诊，自动保护功能，电机，脚踏连接异常将会立即显示报警</w:t>
            </w:r>
            <w:r>
              <w:rPr>
                <w:rFonts w:hint="eastAsia"/>
                <w:sz w:val="24"/>
                <w:szCs w:val="24"/>
                <w:lang w:eastAsia="zh-CN"/>
              </w:rPr>
              <w:br w:type="textWrapping"/>
            </w:r>
            <w:r>
              <w:rPr>
                <w:rFonts w:hint="eastAsia"/>
                <w:sz w:val="24"/>
                <w:szCs w:val="24"/>
                <w:lang w:eastAsia="zh-CN"/>
              </w:rPr>
              <w:t>10.模式选择：≥2种模式可选</w:t>
            </w:r>
            <w:r>
              <w:rPr>
                <w:rFonts w:hint="eastAsia"/>
                <w:sz w:val="24"/>
                <w:szCs w:val="24"/>
                <w:lang w:eastAsia="zh-CN"/>
              </w:rPr>
              <w:br w:type="textWrapping"/>
            </w:r>
            <w:r>
              <w:rPr>
                <w:rFonts w:hint="eastAsia"/>
                <w:sz w:val="24"/>
                <w:szCs w:val="24"/>
                <w:lang w:eastAsia="zh-CN"/>
              </w:rPr>
              <w:t>11.马达接口：标准接口，适配多种品牌的种植手机</w:t>
            </w:r>
            <w:r>
              <w:rPr>
                <w:rFonts w:hint="eastAsia"/>
                <w:sz w:val="24"/>
                <w:szCs w:val="24"/>
                <w:lang w:eastAsia="zh-CN"/>
              </w:rPr>
              <w:br w:type="textWrapping"/>
            </w:r>
            <w:r>
              <w:rPr>
                <w:rFonts w:hint="eastAsia"/>
                <w:sz w:val="24"/>
                <w:szCs w:val="24"/>
                <w:lang w:eastAsia="zh-CN"/>
              </w:rPr>
              <w:t>12.配置需求：主机1，多功能脚踏1，马达手柄及连接线1，弯手机套件1，水瓶挂钩1，手柄支架1，水管夹10，一次性输水管4</w:t>
            </w:r>
            <w:r>
              <w:rPr>
                <w:rFonts w:hint="eastAsia"/>
                <w:sz w:val="24"/>
                <w:szCs w:val="24"/>
                <w:lang w:eastAsia="zh-CN"/>
              </w:rPr>
              <w:br w:type="textWrapping"/>
            </w:r>
            <w:r>
              <w:rPr>
                <w:rFonts w:hint="eastAsia"/>
                <w:sz w:val="24"/>
                <w:szCs w:val="24"/>
                <w:lang w:eastAsia="zh-CN"/>
              </w:rPr>
              <w:t>13.质保：≥3年（常用耗材单独报价）</w:t>
            </w:r>
          </w:p>
        </w:tc>
        <w:tc>
          <w:tcPr>
            <w:tcW w:w="1205" w:type="dxa"/>
            <w:vAlign w:val="center"/>
          </w:tcPr>
          <w:p>
            <w:pPr>
              <w:tabs>
                <w:tab w:val="left" w:pos="6300"/>
              </w:tabs>
              <w:snapToGrid w:val="0"/>
              <w:jc w:val="left"/>
              <w:rPr>
                <w:rFonts w:hint="eastAsia" w:ascii="宋体" w:hAnsi="宋体" w:eastAsia="宋体" w:cs="宋体"/>
                <w:sz w:val="24"/>
                <w:szCs w:val="24"/>
              </w:rPr>
            </w:pPr>
          </w:p>
        </w:tc>
      </w:tr>
    </w:tbl>
    <w:p>
      <w:pPr>
        <w:pStyle w:val="2"/>
        <w:rPr>
          <w:rFonts w:hint="eastAsia"/>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d0bef9b3-e57e-47c3-b14c-39c2c43f5fa8"/>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52A6A"/>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2E51C21"/>
    <w:rsid w:val="03C216AE"/>
    <w:rsid w:val="088B3073"/>
    <w:rsid w:val="0A38044E"/>
    <w:rsid w:val="105765E1"/>
    <w:rsid w:val="11E46932"/>
    <w:rsid w:val="15962639"/>
    <w:rsid w:val="17654F15"/>
    <w:rsid w:val="18990280"/>
    <w:rsid w:val="194F58BE"/>
    <w:rsid w:val="19BE5CBA"/>
    <w:rsid w:val="1B300109"/>
    <w:rsid w:val="1EE15908"/>
    <w:rsid w:val="253908EB"/>
    <w:rsid w:val="27BB7BC4"/>
    <w:rsid w:val="2F1C1962"/>
    <w:rsid w:val="33020198"/>
    <w:rsid w:val="375C6DE7"/>
    <w:rsid w:val="38635F53"/>
    <w:rsid w:val="43BD084E"/>
    <w:rsid w:val="4A54443D"/>
    <w:rsid w:val="4B300B57"/>
    <w:rsid w:val="5AD00FA7"/>
    <w:rsid w:val="60701C05"/>
    <w:rsid w:val="64C50CB4"/>
    <w:rsid w:val="64C51278"/>
    <w:rsid w:val="6ABE0C43"/>
    <w:rsid w:val="6D4713C4"/>
    <w:rsid w:val="6F997ED1"/>
    <w:rsid w:val="6FEA072C"/>
    <w:rsid w:val="710C1EC5"/>
    <w:rsid w:val="74A565C1"/>
    <w:rsid w:val="770C0F88"/>
    <w:rsid w:val="773E7889"/>
    <w:rsid w:val="77F734C0"/>
    <w:rsid w:val="79DD1D32"/>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0"/>
      </w:numPr>
      <w:spacing w:line="360" w:lineRule="auto"/>
      <w:outlineLvl w:val="0"/>
    </w:pPr>
    <w:rPr>
      <w:rFonts w:ascii="宋体" w:hAnsi="宋体" w:cs="Times New Roman"/>
      <w:color w:val="000000"/>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 w:type="character" w:customStyle="1" w:styleId="28">
    <w:name w:val="font81"/>
    <w:basedOn w:val="11"/>
    <w:qFormat/>
    <w:uiPriority w:val="0"/>
    <w:rPr>
      <w:rFonts w:ascii="sans-serif" w:hAnsi="sans-serif" w:eastAsia="sans-serif" w:cs="sans-serif"/>
      <w:color w:val="000000"/>
      <w:sz w:val="22"/>
      <w:szCs w:val="22"/>
      <w:u w:val="none"/>
    </w:rPr>
  </w:style>
  <w:style w:type="character" w:customStyle="1" w:styleId="29">
    <w:name w:val="font91"/>
    <w:basedOn w:val="11"/>
    <w:qFormat/>
    <w:uiPriority w:val="0"/>
    <w:rPr>
      <w:rFonts w:hint="default" w:ascii="sans-serif" w:hAnsi="sans-serif" w:eastAsia="sans-serif" w:cs="sans-serif"/>
      <w:color w:val="000000"/>
      <w:sz w:val="22"/>
      <w:szCs w:val="22"/>
      <w:u w:val="none"/>
    </w:rPr>
  </w:style>
  <w:style w:type="character" w:customStyle="1" w:styleId="30">
    <w:name w:val="font1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2410</Words>
  <Characters>2677</Characters>
  <Lines>7</Lines>
  <Paragraphs>2</Paragraphs>
  <TotalTime>1</TotalTime>
  <ScaleCrop>false</ScaleCrop>
  <LinksUpToDate>false</LinksUpToDate>
  <CharactersWithSpaces>3005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2025-03-19T02:47:26Z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82FB22D77AC74DEBB9308AD16F2B7D37_13</vt:lpwstr>
  </property>
</Properties>
</file>