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bookmarkStart w:id="0" w:name="_Toc287602110"/>
    </w:p>
    <w:p>
      <w:pPr>
        <w:spacing w:line="360" w:lineRule="auto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52"/>
          <w:szCs w:val="52"/>
          <w:lang w:eastAsia="zh-CN"/>
        </w:rPr>
        <w:t>“十五五”规划及</w:t>
      </w:r>
      <w:r>
        <w:rPr>
          <w:rFonts w:hint="default" w:ascii="Times New Roman" w:hAnsi="Times New Roman" w:eastAsia="方正小标宋_GBK" w:cs="Times New Roman"/>
          <w:b w:val="0"/>
          <w:bCs/>
          <w:sz w:val="52"/>
          <w:szCs w:val="52"/>
          <w:lang w:val="en-US" w:eastAsia="zh-CN"/>
        </w:rPr>
        <w:t>总体建设发展规划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52"/>
          <w:szCs w:val="52"/>
          <w:lang w:val="en-US" w:eastAsia="zh-CN"/>
        </w:rPr>
        <w:t>编制需求</w:t>
      </w:r>
    </w:p>
    <w:p>
      <w:pPr>
        <w:spacing w:line="240" w:lineRule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1" w:name="_Toc19115520"/>
      <w:bookmarkStart w:id="2" w:name="_Toc19113854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各潜在供应商：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医院拟招采资质供应商协助开展“十五五”期间事业发展规划及总体建设规划编制工作，为进一步了解国家医疗行业规划发展变化趋势及国内、市内医院规划编制开展情况，拟组织院内阳光推介活动。特公开邀请资质优良、有类似规划编制业绩的供应商前来推介。请有意向的单位，于3月24日下午17：30前，将单位资质、业绩介绍资料及报名表发医院邮箱  sjk806@163.com</w:t>
      </w:r>
      <w:bookmarkStart w:id="6" w:name="_GoBack"/>
      <w:bookmarkEnd w:id="6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由于医院邮箱容量有限，请各潜在供应商务必将资料压缩后再上传，每个单位报名文件控制不超过20Mb。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咨询电话：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院办公室 秦老师 02388860100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后勤保障科 陈老师 02388860168</w:t>
      </w:r>
    </w:p>
    <w:p>
      <w:pPr>
        <w:pStyle w:val="5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pStyle w:val="5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pStyle w:val="5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pStyle w:val="5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rPr>
          <w:rFonts w:hint="default" w:ascii="Times New Roman" w:hAnsi="Times New Roman" w:cs="Times New Roman"/>
        </w:rPr>
      </w:pPr>
    </w:p>
    <w:bookmarkEnd w:id="1"/>
    <w:bookmarkEnd w:id="2"/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  <w:lang w:eastAsia="zh-CN"/>
        </w:rPr>
        <w:t>院办公室、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后勤保障科</w:t>
      </w: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  <w:bookmarkStart w:id="3" w:name="_Toc19115521"/>
      <w:r>
        <w:rPr>
          <w:rFonts w:hint="default" w:ascii="Times New Roman" w:hAnsi="Times New Roman" w:cs="Times New Roman"/>
          <w:b/>
          <w:sz w:val="40"/>
          <w:szCs w:val="40"/>
        </w:rPr>
        <w:t>二○二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sz w:val="40"/>
          <w:szCs w:val="40"/>
        </w:rPr>
        <w:t>年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sz w:val="40"/>
          <w:szCs w:val="40"/>
        </w:rPr>
        <w:t>月</w:t>
      </w:r>
      <w:bookmarkEnd w:id="3"/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十二日</w:t>
      </w:r>
      <w:r>
        <w:rPr>
          <w:rFonts w:hint="default" w:ascii="Times New Roman" w:hAnsi="Times New Roman" w:cs="Times New Roman"/>
          <w:sz w:val="24"/>
          <w:szCs w:val="24"/>
        </w:rPr>
        <w:br w:type="page"/>
      </w:r>
      <w:bookmarkStart w:id="4" w:name="_Toc98942871"/>
      <w:bookmarkStart w:id="5" w:name="_Toc19113855"/>
    </w:p>
    <w:p>
      <w:pPr>
        <w:spacing w:line="240" w:lineRule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附件：规划编制基本要求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spacing w:line="240" w:lineRule="auto"/>
        <w:ind w:firstLine="640" w:firstLineChars="20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一、基本情况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重庆医科大学附属口腔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目前重庆市唯一的，集医疗、教学、科研、预防、保健、急救为一体的国家三级甲等口腔专科医院。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面向"十五五"发展新阶段，医院锚定"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创建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国内一流、国际知名的现代化口腔专科医院"战略目标，坚持临床诊疗、学科建设、教学科研协同发展，着力构建集医疗创新、人才培养、技术转化于一体的高水平发展平台。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根据医院基本情况，对标国际国内高水平口腔专科医院，分析医院在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教研等方面存在的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差距和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不足，测算满足发展所需的基本建设规模和可行实施路线。并根据医院未来几年拟实施的基建项目，规划编制主要技术指标，形成的布局、流线和功能分区及相关图纸、建设项目投资估算及资金来源等内容。</w:t>
      </w:r>
    </w:p>
    <w:p>
      <w:pPr>
        <w:pStyle w:val="2"/>
        <w:spacing w:line="240" w:lineRule="auto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二、编制内容</w:t>
      </w:r>
    </w:p>
    <w:p>
      <w:pPr>
        <w:spacing w:line="240" w:lineRule="auto"/>
        <w:ind w:left="0" w:leftChars="0"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 xml:space="preserve">（一）“十五五”规划  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1.战略定位与发展目标。明确医院在区域及行业中的角色，提出定性目标与定量指标，以及各领域目标，包括临床服务能力、科研产出、教学水平等。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发展现状与提升方向。对标分析与国际和国内口腔专科医院标杆间的差距，锚定追赶的目标，总结诸如硬件短板（空间不足、设备落后、功能分区不合理）、学科弱项（交叉学科平台缺失、高层次人才缺口）、服务痛点（患者就诊流程复杂、智慧化覆盖率低）等，关键问题要用数据说话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3.重点规划内容。包含学科建设与科研创新（学科群规划、科研平台建设、人才引育）、基建项目规划、医疗服务质量和能力提升、流程优化与再造等。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4.重要工程。要明确按时间轴划分建设阶段。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5.保障措施。风险控制、应急院与政策协同情况。</w:t>
      </w:r>
    </w:p>
    <w:p>
      <w:p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（二）基本建设规划</w:t>
      </w:r>
    </w:p>
    <w:p>
      <w:pPr>
        <w:spacing w:line="240" w:lineRule="auto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根据医院发展需要，实时调整；预计未来5年基建项目（含购置）主要包括如下几类：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1.上清寺院区整体提升改造项目，包括改造、改扩建工程等，总面积预计24000平方米；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2.冉家坝院区内部提升改造工程，预计总面积5000-8000平方米；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3.院区就近拓展（含购置、扩建工程）项目，预计50000平方米；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4.院外分门诊部建设项目，预计3-5个，每个约1000平方米。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总投资金额预计6-8亿元。</w:t>
      </w:r>
    </w:p>
    <w:p>
      <w:pPr>
        <w:pStyle w:val="2"/>
        <w:spacing w:line="240" w:lineRule="auto"/>
        <w:ind w:firstLine="640" w:firstLineChars="20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三、编制要求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（一）“十五五”规划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需严格对标国家卫健委、重庆市卫健委政策文件，深度衔接重庆市关于口腔卫生医疗事业等相关产业的发展要求。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（二）总体建设发展规划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需根据上级文件要求以及医院“十五五”规划编制，具体要求如下：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1.医院总体建设发展规划应当遵循国家宏观政策，符合高质量发展要求。规划编制应当遵循提高科学性和可操作性，规划实施应当遵循提高约束性和权威性。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2.根据全市医疗卫生服务体系规划、城市规划和单位事业发展规划，坚持“整体规划、分步实施、集约用地、预留空间”和“适用、经济、安全、绿色”的建设原则。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3.根据医院中长期发展规划，以及未来5年医院主要基建项目编制医院总体建设规划，总体建设发展规划对设计内容的要求比一般项目建议书还要更深入，根据医院需要部分达到方案设计深度。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4.编制《医院总体建设发展规划》由编制单位组织专家评审。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5.编制单位负责与主管部门沟通对接具体要求，确保规划审批通过。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6.编制单位三年内根据医院需要，免费出具规划已编列项目的项目建议书。</w:t>
      </w:r>
    </w:p>
    <w:p>
      <w:pPr>
        <w:pStyle w:val="2"/>
        <w:spacing w:line="24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四、技术要求</w:t>
      </w:r>
    </w:p>
    <w:p>
      <w:pPr>
        <w:spacing w:line="240" w:lineRule="auto"/>
        <w:ind w:firstLine="48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“十五五”规划文件，要符合上级的要求，满足合同约定的内容和质量。总体建设发展规划文件，应当符合国家规定的技术质量标准，满足合同约定的内容、质量等要求。</w:t>
      </w:r>
    </w:p>
    <w:p>
      <w:pPr>
        <w:pStyle w:val="2"/>
        <w:spacing w:line="24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Times New Roman" w:eastAsia="黑体" w:cs="Times New Roman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、其它要求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编制的医院建设总体规划资料符合国家级地方相关标准及规划要求，达到医院要求并通过我院上级部门的审批。</w:t>
      </w: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bookmarkEnd w:id="0"/>
    <w:bookmarkEnd w:id="4"/>
    <w:bookmarkEnd w:id="5"/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7" w:h="16840"/>
      <w:pgMar w:top="1440" w:right="1275" w:bottom="993" w:left="1134" w:header="851" w:footer="77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C8873B-3A55-444D-AD89-45BE027EB8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4661BB8-7351-426D-9270-B67CA54E0E5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A12EE1A-B903-4943-A975-8E0FDB259BD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49EBCF07-7196-49BC-9002-E4EEE85C0D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31</w:t>
    </w:r>
    <w:r>
      <w:rPr>
        <w:b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left"/>
    </w:pPr>
    <w:r>
      <w:rPr>
        <w:rFonts w:hint="eastAsia"/>
      </w:rPr>
      <w:t xml:space="preserve">重庆医科大学附属口腔医院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mMwYzVkMmU2YjI5MTk5ZTY5YTc1M2ZhZDExMWEifQ=="/>
    <w:docVar w:name="KSO_WPS_MARK_KEY" w:val="5a2c711b-de76-4637-924e-0d8621a22b8e"/>
  </w:docVars>
  <w:rsids>
    <w:rsidRoot w:val="00000000"/>
    <w:rsid w:val="08172BF0"/>
    <w:rsid w:val="1B201242"/>
    <w:rsid w:val="1D444066"/>
    <w:rsid w:val="1EED1AC9"/>
    <w:rsid w:val="206B23C1"/>
    <w:rsid w:val="218F7348"/>
    <w:rsid w:val="28C364B9"/>
    <w:rsid w:val="2BD61589"/>
    <w:rsid w:val="30BA0AA6"/>
    <w:rsid w:val="32D710EC"/>
    <w:rsid w:val="35ED1E92"/>
    <w:rsid w:val="3A607713"/>
    <w:rsid w:val="3CD6223E"/>
    <w:rsid w:val="4F6C2EEA"/>
    <w:rsid w:val="52E71802"/>
    <w:rsid w:val="5D6323CD"/>
    <w:rsid w:val="5FE17EC8"/>
    <w:rsid w:val="632E650F"/>
    <w:rsid w:val="644B29E6"/>
    <w:rsid w:val="687F012D"/>
    <w:rsid w:val="6D3E38DD"/>
    <w:rsid w:val="705558C5"/>
    <w:rsid w:val="72010BC6"/>
    <w:rsid w:val="76006E70"/>
    <w:rsid w:val="DEEF0C7E"/>
    <w:rsid w:val="EBEE8C2E"/>
    <w:rsid w:val="EF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eastAsia="仿宋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jc w:val="left"/>
      <w:outlineLvl w:val="1"/>
    </w:pPr>
    <w:rPr>
      <w:rFonts w:ascii="Arial" w:hAnsi="Arial"/>
      <w:bCs/>
      <w:kern w:val="2"/>
      <w:sz w:val="28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Plain Text"/>
    <w:basedOn w:val="1"/>
    <w:qFormat/>
    <w:uiPriority w:val="99"/>
    <w:rPr>
      <w:rFonts w:hAnsi="Courier New"/>
      <w:kern w:val="2"/>
      <w:sz w:val="21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</w:rPr>
  </w:style>
  <w:style w:type="paragraph" w:styleId="12">
    <w:name w:val="toc 2"/>
    <w:basedOn w:val="1"/>
    <w:next w:val="1"/>
    <w:qFormat/>
    <w:uiPriority w:val="39"/>
    <w:pPr>
      <w:spacing w:line="312" w:lineRule="auto"/>
      <w:ind w:left="420"/>
      <w:jc w:val="right"/>
    </w:pPr>
    <w:rPr>
      <w:rFonts w:ascii="仿宋_GB2312" w:eastAsia="仿宋_GB2312"/>
      <w:bCs/>
      <w:smallCaps/>
      <w:sz w:val="24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customStyle="1" w:styleId="17">
    <w:name w:val="标题 2 Char"/>
    <w:link w:val="3"/>
    <w:qFormat/>
    <w:uiPriority w:val="0"/>
    <w:rPr>
      <w:rFonts w:ascii="Arial" w:hAnsi="Arial"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1609</Words>
  <Characters>1653</Characters>
  <Lines>0</Lines>
  <Paragraphs>0</Paragraphs>
  <TotalTime>2</TotalTime>
  <ScaleCrop>false</ScaleCrop>
  <LinksUpToDate>false</LinksUpToDate>
  <CharactersWithSpaces>1668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2024-04-24T10:20:00Z</dcterms:created>
  <dc:creator>Administrator.MM-202203241122</dc:creator>
  <cp:lastModifiedBy>冰封层叶</cp:lastModifiedBy>
  <cp:lastPrinted>2025-03-18T07:23:00Z</cp:lastPrinted>
  <dcterms:modified xsi:type="dcterms:W3CDTF">2025-03-18T07:48:55Z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9B449231E00946B69346057B0D042B24_13</vt:lpwstr>
  </property>
</Properties>
</file>