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Ansi="宋体" w:cs="宋体"/>
          <w:color w:val="000000" w:themeColor="text1"/>
          <w:sz w:val="28"/>
          <w:szCs w:val="28"/>
          <w:highlight w:val="none"/>
          <w14:textFill>
            <w14:solidFill>
              <w14:schemeClr w14:val="tx1"/>
            </w14:solidFill>
          </w14:textFill>
        </w:rPr>
      </w:pPr>
      <w:bookmarkStart w:id="0" w:name="_Toc287602110"/>
    </w:p>
    <w:p>
      <w:pPr>
        <w:spacing w:line="360" w:lineRule="auto"/>
        <w:jc w:val="center"/>
        <w:outlineLvl w:val="0"/>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color w:val="000000" w:themeColor="text1"/>
          <w:sz w:val="160"/>
          <w:szCs w:val="160"/>
          <w:highlight w:val="none"/>
          <w14:textFill>
            <w14:solidFill>
              <w14:schemeClr w14:val="tx1"/>
            </w14:solidFill>
          </w14:textFill>
        </w:rPr>
      </w:pPr>
      <w:r>
        <w:rPr>
          <w:rFonts w:hint="eastAsia" w:hAnsi="宋体" w:cs="宋体"/>
          <w:color w:val="000000" w:themeColor="text1"/>
          <w:sz w:val="160"/>
          <w:szCs w:val="160"/>
          <w:highlight w:val="none"/>
          <w14:textFill>
            <w14:solidFill>
              <w14:schemeClr w14:val="tx1"/>
            </w14:solidFill>
          </w14:textFill>
        </w:rPr>
        <w:t>竞争性比选文件</w:t>
      </w: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b/>
          <w:color w:val="000000" w:themeColor="text1"/>
          <w:sz w:val="40"/>
          <w:szCs w:val="40"/>
          <w:highlight w:val="none"/>
          <w14:textFill>
            <w14:solidFill>
              <w14:schemeClr w14:val="tx1"/>
            </w14:solidFill>
          </w14:textFill>
        </w:rPr>
      </w:pPr>
      <w:bookmarkStart w:id="1" w:name="_Toc19115519"/>
      <w:bookmarkStart w:id="2" w:name="_Toc19113853"/>
      <w:r>
        <w:rPr>
          <w:rFonts w:hint="eastAsia" w:hAnsi="宋体" w:cs="宋体"/>
          <w:b/>
          <w:color w:val="000000" w:themeColor="text1"/>
          <w:sz w:val="40"/>
          <w:szCs w:val="40"/>
          <w:highlight w:val="none"/>
          <w14:textFill>
            <w14:solidFill>
              <w14:schemeClr w14:val="tx1"/>
            </w14:solidFill>
          </w14:textFill>
        </w:rPr>
        <w:t>项目名称：</w:t>
      </w:r>
      <w:bookmarkEnd w:id="1"/>
      <w:bookmarkEnd w:id="2"/>
      <w:r>
        <w:rPr>
          <w:rFonts w:hint="eastAsia" w:hAnsi="宋体" w:cs="宋体"/>
          <w:b/>
          <w:color w:val="000000" w:themeColor="text1"/>
          <w:sz w:val="40"/>
          <w:szCs w:val="40"/>
          <w:highlight w:val="none"/>
          <w14:textFill>
            <w14:solidFill>
              <w14:schemeClr w14:val="tx1"/>
            </w14:solidFill>
          </w14:textFill>
        </w:rPr>
        <w:t>重庆医科大学附属口腔医院</w:t>
      </w:r>
    </w:p>
    <w:p>
      <w:pPr>
        <w:spacing w:line="360" w:lineRule="auto"/>
        <w:jc w:val="center"/>
        <w:rPr>
          <w:rFonts w:hint="eastAsia" w:hAnsi="宋体" w:eastAsia="宋体" w:cs="宋体"/>
          <w:b/>
          <w:color w:val="000000" w:themeColor="text1"/>
          <w:sz w:val="40"/>
          <w:szCs w:val="40"/>
          <w:highlight w:val="none"/>
          <w:lang w:eastAsia="zh-CN"/>
          <w14:textFill>
            <w14:solidFill>
              <w14:schemeClr w14:val="tx1"/>
            </w14:solidFill>
          </w14:textFill>
        </w:rPr>
      </w:pPr>
      <w:r>
        <w:rPr>
          <w:rFonts w:hint="eastAsia" w:hAnsi="宋体" w:cs="宋体"/>
          <w:b/>
          <w:color w:val="000000" w:themeColor="text1"/>
          <w:sz w:val="40"/>
          <w:szCs w:val="40"/>
          <w:highlight w:val="none"/>
          <w14:textFill>
            <w14:solidFill>
              <w14:schemeClr w14:val="tx1"/>
            </w14:solidFill>
          </w14:textFill>
        </w:rPr>
        <w:t>配电房运维值守服务采购</w:t>
      </w:r>
      <w:r>
        <w:rPr>
          <w:rFonts w:hint="eastAsia" w:hAnsi="宋体" w:cs="宋体"/>
          <w:b/>
          <w:color w:val="000000" w:themeColor="text1"/>
          <w:sz w:val="40"/>
          <w:szCs w:val="40"/>
          <w:highlight w:val="none"/>
          <w:lang w:eastAsia="zh-CN"/>
          <w14:textFill>
            <w14:solidFill>
              <w14:schemeClr w14:val="tx1"/>
            </w14:solidFill>
          </w14:textFill>
        </w:rPr>
        <w:t>（第二次）</w:t>
      </w:r>
    </w:p>
    <w:p>
      <w:pPr>
        <w:spacing w:line="360" w:lineRule="auto"/>
        <w:ind w:firstLine="1273" w:firstLineChars="317"/>
        <w:jc w:val="left"/>
        <w:rPr>
          <w:rFonts w:hAnsi="宋体" w:cs="宋体"/>
          <w:b/>
          <w:color w:val="000000" w:themeColor="text1"/>
          <w:sz w:val="40"/>
          <w:szCs w:val="40"/>
          <w:highlight w:val="none"/>
          <w14:textFill>
            <w14:solidFill>
              <w14:schemeClr w14:val="tx1"/>
            </w14:solidFill>
          </w14:textFill>
        </w:rPr>
      </w:pPr>
      <w:bookmarkStart w:id="3" w:name="_Toc19113854"/>
      <w:bookmarkStart w:id="4" w:name="_Toc19115520"/>
      <w:r>
        <w:rPr>
          <w:rFonts w:hint="eastAsia" w:hAnsi="宋体" w:cs="宋体"/>
          <w:b/>
          <w:color w:val="000000" w:themeColor="text1"/>
          <w:sz w:val="40"/>
          <w:szCs w:val="40"/>
          <w:highlight w:val="none"/>
          <w14:textFill>
            <w14:solidFill>
              <w14:schemeClr w14:val="tx1"/>
            </w14:solidFill>
          </w14:textFill>
        </w:rPr>
        <w:t>项目号：KQYY20250</w:t>
      </w:r>
      <w:r>
        <w:rPr>
          <w:rFonts w:hint="eastAsia" w:hAnsi="宋体" w:cs="宋体"/>
          <w:b/>
          <w:color w:val="000000" w:themeColor="text1"/>
          <w:sz w:val="40"/>
          <w:szCs w:val="40"/>
          <w:highlight w:val="none"/>
          <w:lang w:val="en-US" w:eastAsia="zh-CN"/>
          <w14:textFill>
            <w14:solidFill>
              <w14:schemeClr w14:val="tx1"/>
            </w14:solidFill>
          </w14:textFill>
        </w:rPr>
        <w:t>11</w:t>
      </w:r>
      <w:r>
        <w:rPr>
          <w:rFonts w:hint="eastAsia" w:hAnsi="宋体" w:cs="宋体"/>
          <w:b/>
          <w:color w:val="000000" w:themeColor="text1"/>
          <w:sz w:val="40"/>
          <w:szCs w:val="40"/>
          <w:highlight w:val="none"/>
          <w14:textFill>
            <w14:solidFill>
              <w14:schemeClr w14:val="tx1"/>
            </w14:solidFill>
          </w14:textFill>
        </w:rPr>
        <w:t xml:space="preserve"> </w:t>
      </w:r>
    </w:p>
    <w:p>
      <w:pPr>
        <w:spacing w:line="360" w:lineRule="auto"/>
        <w:ind w:firstLine="1273" w:firstLineChars="317"/>
        <w:jc w:val="left"/>
        <w:rPr>
          <w:rFonts w:hAnsi="宋体" w:cs="宋体"/>
          <w:b/>
          <w:color w:val="000000" w:themeColor="text1"/>
          <w:sz w:val="40"/>
          <w:szCs w:val="40"/>
          <w:highlight w:val="none"/>
          <w14:textFill>
            <w14:solidFill>
              <w14:schemeClr w14:val="tx1"/>
            </w14:solidFill>
          </w14:textFill>
        </w:rPr>
      </w:pPr>
    </w:p>
    <w:p>
      <w:pPr>
        <w:spacing w:line="360" w:lineRule="auto"/>
        <w:jc w:val="center"/>
        <w:rPr>
          <w:rFonts w:hAnsi="宋体" w:cs="宋体"/>
          <w:b/>
          <w:color w:val="000000" w:themeColor="text1"/>
          <w:sz w:val="40"/>
          <w:szCs w:val="40"/>
          <w:highlight w:val="none"/>
          <w14:textFill>
            <w14:solidFill>
              <w14:schemeClr w14:val="tx1"/>
            </w14:solidFill>
          </w14:textFill>
        </w:rPr>
      </w:pPr>
      <w:r>
        <w:rPr>
          <w:rFonts w:hint="eastAsia" w:hAnsi="宋体" w:cs="宋体"/>
          <w:b/>
          <w:color w:val="000000" w:themeColor="text1"/>
          <w:sz w:val="40"/>
          <w:szCs w:val="40"/>
          <w:highlight w:val="none"/>
          <w14:textFill>
            <w14:solidFill>
              <w14:schemeClr w14:val="tx1"/>
            </w14:solidFill>
          </w14:textFill>
        </w:rPr>
        <w:t>采购人：重庆医科大学附属口腔医院</w:t>
      </w:r>
      <w:bookmarkEnd w:id="3"/>
      <w:bookmarkEnd w:id="4"/>
    </w:p>
    <w:p>
      <w:pPr>
        <w:spacing w:line="360" w:lineRule="auto"/>
        <w:jc w:val="center"/>
        <w:rPr>
          <w:rFonts w:hAnsi="宋体" w:cs="宋体"/>
          <w:b/>
          <w:color w:val="000000" w:themeColor="text1"/>
          <w:sz w:val="40"/>
          <w:szCs w:val="40"/>
          <w:highlight w:val="none"/>
          <w14:textFill>
            <w14:solidFill>
              <w14:schemeClr w14:val="tx1"/>
            </w14:solidFill>
          </w14:textFill>
        </w:rPr>
      </w:pPr>
    </w:p>
    <w:p>
      <w:pPr>
        <w:spacing w:line="360" w:lineRule="auto"/>
        <w:jc w:val="center"/>
        <w:rPr>
          <w:color w:val="000000" w:themeColor="text1"/>
          <w:highlight w:val="none"/>
          <w14:textFill>
            <w14:solidFill>
              <w14:schemeClr w14:val="tx1"/>
            </w14:solidFill>
          </w14:textFill>
        </w:rPr>
      </w:pPr>
      <w:bookmarkStart w:id="5" w:name="_Toc19115521"/>
      <w:r>
        <w:rPr>
          <w:rFonts w:hint="eastAsia" w:hAnsi="宋体" w:cs="宋体"/>
          <w:b/>
          <w:color w:val="000000" w:themeColor="text1"/>
          <w:sz w:val="40"/>
          <w:szCs w:val="40"/>
          <w:highlight w:val="none"/>
          <w14:textFill>
            <w14:solidFill>
              <w14:schemeClr w14:val="tx1"/>
            </w14:solidFill>
          </w14:textFill>
        </w:rPr>
        <w:t>二○二五年</w:t>
      </w:r>
      <w:r>
        <w:rPr>
          <w:rFonts w:hint="eastAsia" w:hAnsi="宋体" w:cs="宋体"/>
          <w:b/>
          <w:color w:val="000000" w:themeColor="text1"/>
          <w:sz w:val="40"/>
          <w:szCs w:val="40"/>
          <w:highlight w:val="none"/>
          <w:lang w:eastAsia="zh-CN"/>
          <w14:textFill>
            <w14:solidFill>
              <w14:schemeClr w14:val="tx1"/>
            </w14:solidFill>
          </w14:textFill>
        </w:rPr>
        <w:t>三</w:t>
      </w:r>
      <w:r>
        <w:rPr>
          <w:rFonts w:hint="eastAsia" w:hAnsi="宋体" w:cs="宋体"/>
          <w:b/>
          <w:color w:val="000000" w:themeColor="text1"/>
          <w:sz w:val="40"/>
          <w:szCs w:val="40"/>
          <w:highlight w:val="none"/>
          <w14:textFill>
            <w14:solidFill>
              <w14:schemeClr w14:val="tx1"/>
            </w14:solidFill>
          </w14:textFill>
        </w:rPr>
        <w:t>月</w:t>
      </w:r>
      <w:bookmarkEnd w:id="5"/>
      <w:r>
        <w:rPr>
          <w:rFonts w:hint="eastAsia" w:hAnsi="宋体" w:cs="宋体"/>
          <w:color w:val="000000" w:themeColor="text1"/>
          <w:sz w:val="24"/>
          <w:szCs w:val="24"/>
          <w:highlight w:val="none"/>
          <w14:textFill>
            <w14:solidFill>
              <w14:schemeClr w14:val="tx1"/>
            </w14:solidFill>
          </w14:textFill>
        </w:rPr>
        <w:br w:type="page"/>
      </w:r>
      <w:bookmarkStart w:id="6" w:name="_Toc19113855"/>
      <w:r>
        <w:rPr>
          <w:rFonts w:hint="eastAsia" w:hAnsi="宋体" w:cs="宋体"/>
          <w:b/>
          <w:bCs/>
          <w:color w:val="000000" w:themeColor="text1"/>
          <w:sz w:val="36"/>
          <w:szCs w:val="36"/>
          <w:highlight w:val="none"/>
          <w:lang w:val="zh-CN"/>
          <w14:textFill>
            <w14:solidFill>
              <w14:schemeClr w14:val="tx1"/>
            </w14:solidFill>
          </w14:textFill>
        </w:rPr>
        <w:t>目    录</w:t>
      </w:r>
      <w:r>
        <w:rPr>
          <w:rFonts w:hint="eastAsia" w:hAnsi="宋体" w:cs="宋体"/>
          <w:color w:val="000000" w:themeColor="text1"/>
          <w:sz w:val="28"/>
          <w:szCs w:val="28"/>
          <w:highlight w:val="none"/>
          <w14:textFill>
            <w14:solidFill>
              <w14:schemeClr w14:val="tx1"/>
            </w14:solidFill>
          </w14:textFill>
        </w:rPr>
        <w:fldChar w:fldCharType="begin"/>
      </w:r>
      <w:r>
        <w:rPr>
          <w:rFonts w:hint="eastAsia" w:hAnsi="宋体" w:cs="宋体"/>
          <w:color w:val="000000" w:themeColor="text1"/>
          <w:sz w:val="28"/>
          <w:szCs w:val="28"/>
          <w:highlight w:val="none"/>
          <w14:textFill>
            <w14:solidFill>
              <w14:schemeClr w14:val="tx1"/>
            </w14:solidFill>
          </w14:textFill>
        </w:rPr>
        <w:instrText xml:space="preserve"> TOC \o "1-3" \h \z \u </w:instrText>
      </w:r>
      <w:r>
        <w:rPr>
          <w:rFonts w:hint="eastAsia" w:hAnsi="宋体" w:cs="宋体"/>
          <w:color w:val="000000" w:themeColor="text1"/>
          <w:sz w:val="28"/>
          <w:szCs w:val="28"/>
          <w:highlight w:val="none"/>
          <w14:textFill>
            <w14:solidFill>
              <w14:schemeClr w14:val="tx1"/>
            </w14:solidFill>
          </w14:textFill>
        </w:rPr>
        <w:fldChar w:fldCharType="separate"/>
      </w:r>
    </w:p>
    <w:p>
      <w:pPr>
        <w:pStyle w:val="13"/>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"_Toc98942871"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第一篇投标邀请书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"_Toc98942872" </w:instrText>
      </w:r>
      <w:r>
        <w:rPr>
          <w:color w:val="000000" w:themeColor="text1"/>
          <w:highlight w:val="none"/>
          <w14:textFill>
            <w14:solidFill>
              <w14:schemeClr w14:val="tx1"/>
            </w14:solidFill>
          </w14:textFill>
        </w:rPr>
        <w:fldChar w:fldCharType="separate"/>
      </w:r>
      <w:r>
        <w:rPr>
          <w:rStyle w:val="18"/>
          <w:rFonts w:hint="eastAsia" w:ascii="宋体" w:hAnsi="宋体" w:cs="宋体"/>
          <w:color w:val="000000" w:themeColor="text1"/>
          <w:highlight w:val="none"/>
          <w14:textFill>
            <w14:solidFill>
              <w14:schemeClr w14:val="tx1"/>
            </w14:solidFill>
          </w14:textFill>
        </w:rPr>
        <w:t>一、采购项目内容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"_Toc98942873"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二、资金来源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"_Toc98942874"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三、采购方式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"_Toc98942875"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四、投标人资格要求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"_Toc98942876"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五、招标书获取及投标时间要求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"_Toc98942877"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六、其它有关规定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"_Toc98942878"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七、联系方式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"_Toc98942879" </w:instrText>
      </w:r>
      <w:r>
        <w:rPr>
          <w:color w:val="000000" w:themeColor="text1"/>
          <w:highlight w:val="none"/>
          <w14:textFill>
            <w14:solidFill>
              <w14:schemeClr w14:val="tx1"/>
            </w14:solidFill>
          </w14:textFill>
        </w:rPr>
        <w:fldChar w:fldCharType="separate"/>
      </w:r>
      <w:r>
        <w:rPr>
          <w:rStyle w:val="18"/>
          <w:rFonts w:hint="eastAsia" w:hAnsi="宋体" w:cs="宋体"/>
          <w:color w:val="000000" w:themeColor="text1"/>
          <w:highlight w:val="none"/>
          <w14:textFill>
            <w14:solidFill>
              <w14:schemeClr w14:val="tx1"/>
            </w14:solidFill>
          </w14:textFill>
        </w:rPr>
        <w:t>第二篇项目技术要求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"_Toc98942880"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一、采购项目一览表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"_Toc98942881"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二、采购项目技术要求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"_Toc98942882" </w:instrText>
      </w:r>
      <w:r>
        <w:rPr>
          <w:color w:val="000000" w:themeColor="text1"/>
          <w:highlight w:val="none"/>
          <w14:textFill>
            <w14:solidFill>
              <w14:schemeClr w14:val="tx1"/>
            </w14:solidFill>
          </w14:textFill>
        </w:rPr>
        <w:fldChar w:fldCharType="separate"/>
      </w:r>
      <w:r>
        <w:rPr>
          <w:rStyle w:val="18"/>
          <w:rFonts w:hint="eastAsia" w:hAnsi="宋体" w:cs="宋体"/>
          <w:color w:val="000000" w:themeColor="text1"/>
          <w:highlight w:val="none"/>
          <w14:textFill>
            <w14:solidFill>
              <w14:schemeClr w14:val="tx1"/>
            </w14:solidFill>
          </w14:textFill>
        </w:rPr>
        <w:t>第三篇项目商务要求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"_Toc98942883"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一、交货期、交货地点及验收方式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"_Toc98942884"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二、报价要求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"_Toc98942885"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三、质量保证及售后服务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"_Toc98942886"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四、付款方式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"_Toc98942887"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五、知识产权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"_Toc98942888"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六、培训</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"_Toc98942889"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七、其他商务要求内容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"_Toc98942890" </w:instrText>
      </w:r>
      <w:r>
        <w:rPr>
          <w:color w:val="000000" w:themeColor="text1"/>
          <w:highlight w:val="none"/>
          <w14:textFill>
            <w14:solidFill>
              <w14:schemeClr w14:val="tx1"/>
            </w14:solidFill>
          </w14:textFill>
        </w:rPr>
        <w:fldChar w:fldCharType="separate"/>
      </w:r>
      <w:r>
        <w:rPr>
          <w:rStyle w:val="18"/>
          <w:rFonts w:hint="eastAsia" w:hAnsi="宋体" w:cs="宋体"/>
          <w:color w:val="000000" w:themeColor="text1"/>
          <w:highlight w:val="none"/>
          <w14:textFill>
            <w14:solidFill>
              <w14:schemeClr w14:val="tx1"/>
            </w14:solidFill>
          </w14:textFill>
        </w:rPr>
        <w:t>第四篇资格审查及评分办法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"_Toc98942891"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一、资格审查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"_Toc98942892"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二、评标方法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"_Toc98942893"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三、评分标准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"_Toc98942894"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四、无效投标条款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"_Toc98942895"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五、废标条款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"_Toc98942896" </w:instrText>
      </w:r>
      <w:r>
        <w:rPr>
          <w:color w:val="000000" w:themeColor="text1"/>
          <w:highlight w:val="none"/>
          <w14:textFill>
            <w14:solidFill>
              <w14:schemeClr w14:val="tx1"/>
            </w14:solidFill>
          </w14:textFill>
        </w:rPr>
        <w:fldChar w:fldCharType="separate"/>
      </w:r>
      <w:r>
        <w:rPr>
          <w:rStyle w:val="18"/>
          <w:rFonts w:hint="eastAsia" w:hAnsi="宋体"/>
          <w:color w:val="000000" w:themeColor="text1"/>
          <w:highlight w:val="none"/>
          <w14:textFill>
            <w14:solidFill>
              <w14:schemeClr w14:val="tx1"/>
            </w14:solidFill>
          </w14:textFill>
        </w:rPr>
        <w:t>第五篇投标人须知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"_Toc98942897"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一、投标人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"_Toc98942898"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二、竞争性比选文件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"_Toc98942899"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三、响应文件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"_Toc98942900"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四、评标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"_Toc98942901"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五、定标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"_Toc98942902"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六、询问、质疑和投诉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"_Toc98942903"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七、签订合同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"_Toc98942904" </w:instrText>
      </w:r>
      <w:r>
        <w:rPr>
          <w:color w:val="000000" w:themeColor="text1"/>
          <w:highlight w:val="none"/>
          <w14:textFill>
            <w14:solidFill>
              <w14:schemeClr w14:val="tx1"/>
            </w14:solidFill>
          </w14:textFill>
        </w:rPr>
        <w:fldChar w:fldCharType="separate"/>
      </w:r>
      <w:r>
        <w:rPr>
          <w:rStyle w:val="18"/>
          <w:rFonts w:hint="eastAsia" w:hAnsi="宋体" w:cs="宋体"/>
          <w:color w:val="000000" w:themeColor="text1"/>
          <w:highlight w:val="none"/>
          <w14:textFill>
            <w14:solidFill>
              <w14:schemeClr w14:val="tx1"/>
            </w14:solidFill>
          </w14:textFill>
        </w:rPr>
        <w:t>第六篇响应文件格式要求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"_Toc98942905"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一、经济文件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"_Toc98942906"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二、技术文件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"_Toc98942907"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三、商务文件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"_Toc98942908"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四、其他与项目有关的资料（自附）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4"/>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"_Toc98942909" </w:instrText>
      </w:r>
      <w:r>
        <w:rPr>
          <w:color w:val="000000" w:themeColor="text1"/>
          <w:highlight w:val="none"/>
          <w14:textFill>
            <w14:solidFill>
              <w14:schemeClr w14:val="tx1"/>
            </w14:solidFill>
          </w14:textFill>
        </w:rPr>
        <w:fldChar w:fldCharType="separate"/>
      </w:r>
      <w:r>
        <w:rPr>
          <w:rStyle w:val="18"/>
          <w:rFonts w:hint="eastAsia"/>
          <w:color w:val="000000" w:themeColor="text1"/>
          <w:highlight w:val="none"/>
          <w14:textFill>
            <w14:solidFill>
              <w14:schemeClr w14:val="tx1"/>
            </w14:solidFill>
          </w14:textFill>
        </w:rPr>
        <w:t>五、资格文件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
        <w:rPr>
          <w:color w:val="000000" w:themeColor="text1"/>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br w:type="page"/>
      </w:r>
      <w:bookmarkStart w:id="7" w:name="_Toc98942871"/>
      <w:r>
        <w:rPr>
          <w:rFonts w:hint="eastAsia"/>
          <w:color w:val="000000" w:themeColor="text1"/>
          <w:highlight w:val="none"/>
          <w14:textFill>
            <w14:solidFill>
              <w14:schemeClr w14:val="tx1"/>
            </w14:solidFill>
          </w14:textFill>
        </w:rPr>
        <w:t>第一篇 投标邀请书</w:t>
      </w:r>
      <w:bookmarkEnd w:id="6"/>
      <w:bookmarkEnd w:id="7"/>
    </w:p>
    <w:p>
      <w:pPr>
        <w:spacing w:line="360" w:lineRule="auto"/>
        <w:ind w:firstLine="480" w:firstLineChars="200"/>
        <w:jc w:val="left"/>
        <w:rPr>
          <w:rFonts w:hint="default" w:hAnsi="宋体" w:eastAsia="宋体" w:cs="宋体"/>
          <w:color w:val="000000" w:themeColor="text1"/>
          <w:sz w:val="28"/>
          <w:szCs w:val="28"/>
          <w:highlight w:val="none"/>
          <w:lang w:val="en-US" w:eastAsia="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重庆医科大学附属口腔医院（简称“口腔医院”）对配电房运维值守服务进行采购，欢迎有资格、有实力的投标人参加院内竞争性比选。</w:t>
      </w:r>
      <w:r>
        <w:rPr>
          <w:rFonts w:hint="eastAsia" w:hAnsi="宋体" w:cs="宋体"/>
          <w:color w:val="000000" w:themeColor="text1"/>
          <w:sz w:val="24"/>
          <w:szCs w:val="24"/>
          <w:highlight w:val="none"/>
          <w:lang w:eastAsia="zh-CN"/>
          <w14:textFill>
            <w14:solidFill>
              <w14:schemeClr w14:val="tx1"/>
            </w14:solidFill>
          </w14:textFill>
        </w:rPr>
        <w:t>第一次挂网公告期间投标人不足</w:t>
      </w:r>
      <w:r>
        <w:rPr>
          <w:rFonts w:hint="eastAsia" w:hAnsi="宋体" w:cs="宋体"/>
          <w:color w:val="000000" w:themeColor="text1"/>
          <w:sz w:val="24"/>
          <w:szCs w:val="24"/>
          <w:highlight w:val="none"/>
          <w:lang w:val="en-US" w:eastAsia="zh-CN"/>
          <w14:textFill>
            <w14:solidFill>
              <w14:schemeClr w14:val="tx1"/>
            </w14:solidFill>
          </w14:textFill>
        </w:rPr>
        <w:t>3家，现进行第二次挂网公告，第一</w:t>
      </w:r>
      <w:bookmarkStart w:id="113" w:name="_GoBack"/>
      <w:bookmarkEnd w:id="113"/>
      <w:r>
        <w:rPr>
          <w:rFonts w:hint="eastAsia" w:hAnsi="宋体" w:cs="宋体"/>
          <w:color w:val="000000" w:themeColor="text1"/>
          <w:sz w:val="24"/>
          <w:szCs w:val="24"/>
          <w:highlight w:val="none"/>
          <w:lang w:val="en-US" w:eastAsia="zh-CN"/>
          <w14:textFill>
            <w14:solidFill>
              <w14:schemeClr w14:val="tx1"/>
            </w14:solidFill>
          </w14:textFill>
        </w:rPr>
        <w:t>次挂网公告期间已递交投标文件的无需再次递交。</w:t>
      </w:r>
    </w:p>
    <w:p>
      <w:pPr>
        <w:pStyle w:val="3"/>
        <w:spacing w:line="360" w:lineRule="auto"/>
        <w:rPr>
          <w:rFonts w:ascii="宋体" w:hAnsi="宋体" w:cs="宋体"/>
          <w:color w:val="000000" w:themeColor="text1"/>
          <w:kern w:val="0"/>
          <w:szCs w:val="28"/>
          <w:highlight w:val="none"/>
          <w14:textFill>
            <w14:solidFill>
              <w14:schemeClr w14:val="tx1"/>
            </w14:solidFill>
          </w14:textFill>
        </w:rPr>
      </w:pPr>
      <w:bookmarkStart w:id="8" w:name="_Toc98942872"/>
      <w:r>
        <w:rPr>
          <w:rFonts w:hint="eastAsia" w:ascii="宋体" w:hAnsi="宋体" w:cs="宋体"/>
          <w:bCs w:val="0"/>
          <w:color w:val="000000" w:themeColor="text1"/>
          <w:kern w:val="0"/>
          <w:szCs w:val="28"/>
          <w:highlight w:val="none"/>
          <w14:textFill>
            <w14:solidFill>
              <w14:schemeClr w14:val="tx1"/>
            </w14:solidFill>
          </w14:textFill>
        </w:rPr>
        <w:t>一、项目内容</w:t>
      </w:r>
      <w:bookmarkEnd w:id="8"/>
    </w:p>
    <w:tbl>
      <w:tblPr>
        <w:tblStyle w:val="16"/>
        <w:tblpPr w:leftFromText="180" w:rightFromText="180" w:vertAnchor="text" w:tblpXSpec="center" w:tblpY="1"/>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890"/>
        <w:gridCol w:w="148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13" w:type="dxa"/>
            <w:vAlign w:val="center"/>
          </w:tcPr>
          <w:p>
            <w:pPr>
              <w:spacing w:line="360" w:lineRule="auto"/>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项目名称</w:t>
            </w:r>
          </w:p>
        </w:tc>
        <w:tc>
          <w:tcPr>
            <w:tcW w:w="1890" w:type="dxa"/>
          </w:tcPr>
          <w:p>
            <w:pPr>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成交供应商数量（名）</w:t>
            </w:r>
          </w:p>
        </w:tc>
        <w:tc>
          <w:tcPr>
            <w:tcW w:w="1485" w:type="dxa"/>
            <w:vAlign w:val="center"/>
          </w:tcPr>
          <w:p>
            <w:pPr>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最高限价</w:t>
            </w:r>
          </w:p>
        </w:tc>
        <w:tc>
          <w:tcPr>
            <w:tcW w:w="1558" w:type="dxa"/>
            <w:vAlign w:val="center"/>
          </w:tcPr>
          <w:p>
            <w:pPr>
              <w:spacing w:line="360" w:lineRule="auto"/>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pPr>
              <w:jc w:val="center"/>
              <w:rPr>
                <w:rFonts w:hAnsi="宋体" w:cs="宋体"/>
                <w:color w:val="000000" w:themeColor="text1"/>
                <w:sz w:val="24"/>
                <w:szCs w:val="24"/>
                <w:highlight w:val="none"/>
                <w14:textFill>
                  <w14:solidFill>
                    <w14:schemeClr w14:val="tx1"/>
                  </w14:solidFill>
                </w14:textFill>
              </w:rPr>
            </w:pPr>
            <w:bookmarkStart w:id="9" w:name="OLE_LINK3"/>
            <w:r>
              <w:rPr>
                <w:rFonts w:hint="eastAsia" w:hAnsi="宋体" w:cs="宋体"/>
                <w:color w:val="000000" w:themeColor="text1"/>
                <w:sz w:val="24"/>
                <w:szCs w:val="24"/>
                <w:highlight w:val="none"/>
                <w14:textFill>
                  <w14:solidFill>
                    <w14:schemeClr w14:val="tx1"/>
                  </w14:solidFill>
                </w14:textFill>
              </w:rPr>
              <w:t>重庆医科大学附属口腔医院   配电房运维值守服务采购</w:t>
            </w:r>
            <w:bookmarkEnd w:id="9"/>
          </w:p>
        </w:tc>
        <w:tc>
          <w:tcPr>
            <w:tcW w:w="1890" w:type="dxa"/>
            <w:vAlign w:val="center"/>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p>
        </w:tc>
        <w:tc>
          <w:tcPr>
            <w:tcW w:w="1485" w:type="dxa"/>
            <w:vAlign w:val="center"/>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3.5万元/月</w:t>
            </w:r>
          </w:p>
        </w:tc>
        <w:tc>
          <w:tcPr>
            <w:tcW w:w="1558" w:type="dxa"/>
            <w:vAlign w:val="center"/>
          </w:tcPr>
          <w:p>
            <w:pPr>
              <w:jc w:val="center"/>
              <w:rPr>
                <w:rFonts w:hAnsi="宋体" w:cs="宋体"/>
                <w:color w:val="000000" w:themeColor="text1"/>
                <w:sz w:val="24"/>
                <w:szCs w:val="24"/>
                <w:highlight w:val="none"/>
                <w14:textFill>
                  <w14:solidFill>
                    <w14:schemeClr w14:val="tx1"/>
                  </w14:solidFill>
                </w14:textFill>
              </w:rPr>
            </w:pPr>
          </w:p>
        </w:tc>
      </w:tr>
    </w:tbl>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sz w:val="28"/>
          <w:szCs w:val="28"/>
          <w:highlight w:val="none"/>
          <w14:textFill>
            <w14:solidFill>
              <w14:schemeClr w14:val="tx1"/>
            </w14:solidFill>
          </w14:textFill>
        </w:rPr>
      </w:pPr>
      <w:bookmarkStart w:id="10" w:name="_Toc98942873"/>
      <w:r>
        <w:rPr>
          <w:rStyle w:val="20"/>
          <w:rFonts w:hint="eastAsia"/>
          <w:color w:val="000000" w:themeColor="text1"/>
          <w:highlight w:val="none"/>
          <w14:textFill>
            <w14:solidFill>
              <w14:schemeClr w14:val="tx1"/>
            </w14:solidFill>
          </w14:textFill>
        </w:rPr>
        <w:t>二、资金来源</w:t>
      </w:r>
      <w:bookmarkEnd w:id="10"/>
      <w:r>
        <w:rPr>
          <w:rFonts w:hint="eastAsia"/>
          <w:color w:val="000000" w:themeColor="text1"/>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医院自筹</w:t>
      </w:r>
    </w:p>
    <w:p>
      <w:pPr>
        <w:rPr>
          <w:color w:val="000000" w:themeColor="text1"/>
          <w:sz w:val="28"/>
          <w:szCs w:val="28"/>
          <w:highlight w:val="none"/>
          <w14:textFill>
            <w14:solidFill>
              <w14:schemeClr w14:val="tx1"/>
            </w14:solidFill>
          </w14:textFill>
        </w:rPr>
      </w:pPr>
      <w:bookmarkStart w:id="11" w:name="_Toc98942874"/>
      <w:r>
        <w:rPr>
          <w:rStyle w:val="20"/>
          <w:rFonts w:hint="eastAsia"/>
          <w:color w:val="000000" w:themeColor="text1"/>
          <w:szCs w:val="28"/>
          <w:highlight w:val="none"/>
          <w14:textFill>
            <w14:solidFill>
              <w14:schemeClr w14:val="tx1"/>
            </w14:solidFill>
          </w14:textFill>
        </w:rPr>
        <w:t>三、采购方式</w:t>
      </w:r>
      <w:bookmarkEnd w:id="11"/>
      <w:r>
        <w:rPr>
          <w:rFonts w:hint="eastAsia"/>
          <w:color w:val="000000" w:themeColor="text1"/>
          <w:sz w:val="28"/>
          <w:szCs w:val="28"/>
          <w:highlight w:val="none"/>
          <w14:textFill>
            <w14:solidFill>
              <w14:schemeClr w14:val="tx1"/>
            </w14:solidFill>
          </w14:textFill>
        </w:rPr>
        <w:t>：院内竞争性比选</w:t>
      </w:r>
    </w:p>
    <w:p>
      <w:pPr>
        <w:pStyle w:val="3"/>
        <w:rPr>
          <w:color w:val="000000" w:themeColor="text1"/>
          <w:highlight w:val="none"/>
          <w14:textFill>
            <w14:solidFill>
              <w14:schemeClr w14:val="tx1"/>
            </w14:solidFill>
          </w14:textFill>
        </w:rPr>
      </w:pPr>
      <w:bookmarkStart w:id="12" w:name="_Toc98942875"/>
      <w:r>
        <w:rPr>
          <w:rFonts w:hint="eastAsia"/>
          <w:color w:val="000000" w:themeColor="text1"/>
          <w:highlight w:val="none"/>
          <w14:textFill>
            <w14:solidFill>
              <w14:schemeClr w14:val="tx1"/>
            </w14:solidFill>
          </w14:textFill>
        </w:rPr>
        <w:t>四、投标人资格要求</w:t>
      </w:r>
      <w:bookmarkEnd w:id="12"/>
    </w:p>
    <w:p>
      <w:pPr>
        <w:spacing w:line="360" w:lineRule="auto"/>
        <w:ind w:firstLine="48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（一）基本资格条件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1.具有独立承担民事责任的能力；</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2.具有良好的商业信誉和健全的财务会计制度；</w:t>
      </w:r>
    </w:p>
    <w:p>
      <w:pPr>
        <w:spacing w:line="360" w:lineRule="auto"/>
        <w:ind w:firstLine="48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3.具有履行合同所必需的设备和专业技术能力；</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4.有依法缴纳税收和社会保障资金的良好记录；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5.参加采购活动前三年内，在经营活动中没有重大违法记录；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6.法律、行政法规规定的其他条件。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（二）特定资格要求：</w:t>
      </w:r>
    </w:p>
    <w:p>
      <w:pPr>
        <w:spacing w:line="360" w:lineRule="auto"/>
        <w:ind w:firstLine="480"/>
        <w:rPr>
          <w:rFonts w:hAnsi="宋体" w:cs="宋体"/>
          <w:color w:val="000000" w:themeColor="text1"/>
          <w:sz w:val="24"/>
          <w:szCs w:val="24"/>
          <w:highlight w:val="none"/>
          <w14:textFill>
            <w14:solidFill>
              <w14:schemeClr w14:val="tx1"/>
            </w14:solidFill>
          </w14:textFill>
        </w:rPr>
      </w:pPr>
      <w:bookmarkStart w:id="13" w:name="_Toc98942876"/>
      <w:r>
        <w:rPr>
          <w:rFonts w:hint="eastAsia" w:ascii="MS Gothic" w:hAnsi="MS Gothic" w:cs="MS Gothic"/>
          <w:color w:val="000000" w:themeColor="text1"/>
          <w:sz w:val="24"/>
          <w:szCs w:val="24"/>
          <w:highlight w:val="none"/>
          <w:lang w:eastAsia="zh-CN"/>
          <w14:textFill>
            <w14:solidFill>
              <w14:schemeClr w14:val="tx1"/>
            </w14:solidFill>
          </w14:textFill>
        </w:rPr>
        <w:t>无</w:t>
      </w:r>
      <w:r>
        <w:rPr>
          <w:rFonts w:hint="eastAsia" w:ascii="MS Gothic" w:hAnsi="MS Gothic" w:eastAsia="MS Gothic" w:cs="MS Gothic"/>
          <w:color w:val="000000" w:themeColor="text1"/>
          <w:sz w:val="24"/>
          <w:szCs w:val="24"/>
          <w:highlight w:val="none"/>
          <w14:textFill>
            <w14:solidFill>
              <w14:schemeClr w14:val="tx1"/>
            </w14:solidFill>
          </w14:textFill>
        </w:rPr>
        <w:t>‌</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五、比选文件获取及投标时间要求</w:t>
      </w:r>
      <w:bookmarkEnd w:id="13"/>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凡愿意参加投标的投标人，请自行在“行采家”或“重庆医科大学附属口腔医院”或“中国采购招标网”下载竞争性比选文件，竞争性比选文件及补遗等开标前公布的所有项目资料，无论投标人下载与否，均视为已知晓所有招标内容。本项目无需报名及购买竞争性比选文件。获取文件期限:2025年</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14</w:t>
      </w:r>
      <w:r>
        <w:rPr>
          <w:rFonts w:hint="eastAsia" w:hAnsi="宋体" w:cs="宋体"/>
          <w:color w:val="000000" w:themeColor="text1"/>
          <w:sz w:val="24"/>
          <w:szCs w:val="24"/>
          <w:highlight w:val="none"/>
          <w14:textFill>
            <w14:solidFill>
              <w14:schemeClr w14:val="tx1"/>
            </w14:solidFill>
          </w14:textFill>
        </w:rPr>
        <w:t>日 9：00至 2025年</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20</w:t>
      </w:r>
      <w:r>
        <w:rPr>
          <w:rFonts w:hint="eastAsia" w:hAnsi="宋体" w:cs="宋体"/>
          <w:color w:val="000000" w:themeColor="text1"/>
          <w:sz w:val="24"/>
          <w:szCs w:val="24"/>
          <w:highlight w:val="none"/>
          <w14:textFill>
            <w14:solidFill>
              <w14:schemeClr w14:val="tx1"/>
            </w14:solidFill>
          </w14:textFill>
        </w:rPr>
        <w:t>日 17:30。</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投标人应当按照竞争性比选文件的要求编制响应文件，并对竞争性比选文件提出的要求和条件作出实质性响应，响应文件须采用软面胶装（不得采用穿孔式、文件夹式活页装订），同时应编制完整的封面、页码、目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投标书正本、副本各一份，均需有法定代表人（或法人代表）签章和单位盖章，响应文件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（四）所有投标书应于2025年</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14</w:t>
      </w:r>
      <w:r>
        <w:rPr>
          <w:rFonts w:hint="eastAsia" w:hAnsi="宋体" w:cs="宋体"/>
          <w:color w:val="000000" w:themeColor="text1"/>
          <w:sz w:val="24"/>
          <w:szCs w:val="24"/>
          <w:highlight w:val="none"/>
          <w14:textFill>
            <w14:solidFill>
              <w14:schemeClr w14:val="tx1"/>
            </w14:solidFill>
          </w14:textFill>
        </w:rPr>
        <w:t>日 9：00至 2025年</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20</w:t>
      </w:r>
      <w:r>
        <w:rPr>
          <w:rFonts w:hint="eastAsia" w:hAnsi="宋体" w:cs="宋体"/>
          <w:color w:val="000000" w:themeColor="text1"/>
          <w:sz w:val="24"/>
          <w:szCs w:val="24"/>
          <w:highlight w:val="none"/>
          <w14:textFill>
            <w14:solidFill>
              <w14:schemeClr w14:val="tx1"/>
            </w14:solidFill>
          </w14:textFill>
        </w:rPr>
        <w:t>日17:30(工作时间)递交到重庆医科大学附属口腔医院(重庆渝北区松石北路426号)综合楼七楼审计科（须密封盖章）。邮寄标书的以快递送达口腔医院并签收的日期为准（收件人：审计科 李老师 88602318）。逾期送达的响应文件，将不予受理。</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（五）比选时间：2025年 月 日9:30（待定），具体评审时间及地点由医院确定，投标人无须参加。</w:t>
      </w:r>
    </w:p>
    <w:p>
      <w:pPr>
        <w:pStyle w:val="3"/>
        <w:rPr>
          <w:color w:val="000000" w:themeColor="text1"/>
          <w:highlight w:val="none"/>
          <w14:textFill>
            <w14:solidFill>
              <w14:schemeClr w14:val="tx1"/>
            </w14:solidFill>
          </w14:textFill>
        </w:rPr>
      </w:pPr>
      <w:bookmarkStart w:id="14" w:name="_Toc60133133"/>
      <w:bookmarkStart w:id="15" w:name="_Toc98942877"/>
      <w:r>
        <w:rPr>
          <w:rFonts w:hint="eastAsia"/>
          <w:color w:val="000000" w:themeColor="text1"/>
          <w:highlight w:val="none"/>
          <w14:textFill>
            <w14:solidFill>
              <w14:schemeClr w14:val="tx1"/>
            </w14:solidFill>
          </w14:textFill>
        </w:rPr>
        <w:t>六、其它有关规定</w:t>
      </w:r>
      <w:bookmarkEnd w:id="14"/>
      <w:bookmarkEnd w:id="15"/>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w:t>
      </w:r>
      <w:r>
        <w:rPr>
          <w:rFonts w:hAnsi="宋体" w:cs="宋体"/>
          <w:color w:val="000000" w:themeColor="text1"/>
          <w:sz w:val="24"/>
          <w:szCs w:val="24"/>
          <w:highlight w:val="none"/>
          <w14:textFill>
            <w14:solidFill>
              <w14:schemeClr w14:val="tx1"/>
            </w14:solidFill>
          </w14:textFill>
        </w:rPr>
        <w:t>单位负责人为同一人或者存在直接控股、管理关系的不同供应商，不得参加同一合同项下的采购活动。</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w:t>
      </w:r>
      <w:r>
        <w:rPr>
          <w:rFonts w:hAnsi="宋体" w:cs="宋体"/>
          <w:color w:val="000000" w:themeColor="text1"/>
          <w:sz w:val="24"/>
          <w:szCs w:val="24"/>
          <w:highlight w:val="none"/>
          <w14:textFill>
            <w14:solidFill>
              <w14:schemeClr w14:val="tx1"/>
            </w14:solidFill>
          </w14:textFill>
        </w:rPr>
        <w:t>为采购项目提供整体设计、规范编制或者项目管理、监理、检测等服务的供应商，不得再参加</w:t>
      </w:r>
      <w:r>
        <w:rPr>
          <w:rFonts w:hint="eastAsia" w:hAnsi="宋体" w:cs="宋体"/>
          <w:color w:val="000000" w:themeColor="text1"/>
          <w:sz w:val="24"/>
          <w:szCs w:val="24"/>
          <w:highlight w:val="none"/>
          <w14:textFill>
            <w14:solidFill>
              <w14:schemeClr w14:val="tx1"/>
            </w14:solidFill>
          </w14:textFill>
        </w:rPr>
        <w:t>该采购</w:t>
      </w:r>
      <w:r>
        <w:rPr>
          <w:rFonts w:hAnsi="宋体" w:cs="宋体"/>
          <w:color w:val="000000" w:themeColor="text1"/>
          <w:sz w:val="24"/>
          <w:szCs w:val="24"/>
          <w:highlight w:val="none"/>
          <w14:textFill>
            <w14:solidFill>
              <w14:schemeClr w14:val="tx1"/>
            </w14:solidFill>
          </w14:textFill>
        </w:rPr>
        <w:t>项目的</w:t>
      </w:r>
      <w:r>
        <w:rPr>
          <w:rFonts w:hint="eastAsia" w:hAnsi="宋体" w:cs="宋体"/>
          <w:color w:val="000000" w:themeColor="text1"/>
          <w:sz w:val="24"/>
          <w:szCs w:val="24"/>
          <w:highlight w:val="none"/>
          <w14:textFill>
            <w14:solidFill>
              <w14:schemeClr w14:val="tx1"/>
            </w14:solidFill>
          </w14:textFill>
        </w:rPr>
        <w:t>其他</w:t>
      </w:r>
      <w:r>
        <w:rPr>
          <w:rFonts w:hAnsi="宋体" w:cs="宋体"/>
          <w:color w:val="000000" w:themeColor="text1"/>
          <w:sz w:val="24"/>
          <w:szCs w:val="24"/>
          <w:highlight w:val="none"/>
          <w14:textFill>
            <w14:solidFill>
              <w14:schemeClr w14:val="tx1"/>
            </w14:solidFill>
          </w14:textFill>
        </w:rPr>
        <w:t>采购活动。</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（三）本项目若有补遗文件一律在重庆医科大学附属口腔医院官网、中国采购招标网、和行采家上发布，请各供应商注意下载；无论供应商下载与否，均视同供应商已知晓本项目补遗文件的内容。</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（四）超过响应文件递交截止时间递交的响应文件，恕不接收。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（五）磋商费用：无论投标结果如何，供应商参与本项目投标的所有费用均应由供应商自行承担。</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（六）本项目不接受联合体参与投标。</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（七）</w:t>
      </w:r>
      <w:bookmarkStart w:id="16" w:name="OLE_LINK2"/>
      <w:bookmarkStart w:id="17" w:name="OLE_LINK1"/>
      <w:r>
        <w:rPr>
          <w:rFonts w:hint="eastAsia" w:hAnsi="宋体" w:cs="宋体"/>
          <w:color w:val="000000" w:themeColor="text1"/>
          <w:sz w:val="24"/>
          <w:szCs w:val="24"/>
          <w:highlight w:val="none"/>
          <w14:textFill>
            <w14:solidFill>
              <w14:schemeClr w14:val="tx1"/>
            </w14:solidFill>
          </w14:textFill>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6"/>
      <w:bookmarkEnd w:id="17"/>
      <w:r>
        <w:rPr>
          <w:rFonts w:hint="eastAsia" w:hAnsi="宋体" w:cs="宋体"/>
          <w:color w:val="000000" w:themeColor="text1"/>
          <w:sz w:val="24"/>
          <w:szCs w:val="24"/>
          <w:highlight w:val="none"/>
          <w14:textFill>
            <w14:solidFill>
              <w14:schemeClr w14:val="tx1"/>
            </w14:solidFill>
          </w14:textFill>
        </w:rPr>
        <w:t>供应商，将拒绝其参与政府采购活动。</w:t>
      </w:r>
    </w:p>
    <w:p>
      <w:pPr>
        <w:pStyle w:val="3"/>
        <w:rPr>
          <w:color w:val="000000" w:themeColor="text1"/>
          <w:highlight w:val="none"/>
          <w14:textFill>
            <w14:solidFill>
              <w14:schemeClr w14:val="tx1"/>
            </w14:solidFill>
          </w14:textFill>
        </w:rPr>
      </w:pPr>
      <w:bookmarkStart w:id="18" w:name="_Toc98942878"/>
      <w:r>
        <w:rPr>
          <w:rFonts w:hint="eastAsia"/>
          <w:color w:val="000000" w:themeColor="text1"/>
          <w:highlight w:val="none"/>
          <w14:textFill>
            <w14:solidFill>
              <w14:schemeClr w14:val="tx1"/>
            </w14:solidFill>
          </w14:textFill>
        </w:rPr>
        <w:t>七、联系方式</w:t>
      </w:r>
      <w:bookmarkEnd w:id="18"/>
    </w:p>
    <w:p>
      <w:pPr>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单位名称：重庆医科大学附属口腔医院 </w:t>
      </w:r>
    </w:p>
    <w:p>
      <w:pPr>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地址：重庆市渝北区松石北路426号  邮编：  401147</w:t>
      </w:r>
    </w:p>
    <w:p>
      <w:pPr>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电话： 023- 88860001       88602318（监督）       传真：023-88860222</w:t>
      </w:r>
    </w:p>
    <w:p>
      <w:pPr>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联系人：陈老师        李老师（监督）</w:t>
      </w:r>
    </w:p>
    <w:p>
      <w:pPr>
        <w:rPr>
          <w:color w:val="000000" w:themeColor="text1"/>
          <w:highlight w:val="none"/>
          <w14:textFill>
            <w14:solidFill>
              <w14:schemeClr w14:val="tx1"/>
            </w14:solidFill>
          </w14:textFill>
        </w:rPr>
        <w:sectPr>
          <w:headerReference r:id="rId3" w:type="default"/>
          <w:footerReference r:id="rId4" w:type="default"/>
          <w:pgSz w:w="11907" w:h="16840"/>
          <w:pgMar w:top="1440" w:right="1275" w:bottom="993" w:left="1134" w:header="851" w:footer="777" w:gutter="0"/>
          <w:cols w:space="720" w:num="1"/>
          <w:docGrid w:linePitch="312" w:charSpace="0"/>
        </w:sectPr>
      </w:pPr>
    </w:p>
    <w:p>
      <w:pPr>
        <w:rPr>
          <w:color w:val="000000" w:themeColor="text1"/>
          <w:highlight w:val="none"/>
          <w14:textFill>
            <w14:solidFill>
              <w14:schemeClr w14:val="tx1"/>
            </w14:solidFill>
          </w14:textFill>
        </w:rPr>
      </w:pPr>
    </w:p>
    <w:p>
      <w:pPr>
        <w:pStyle w:val="2"/>
        <w:spacing w:line="360" w:lineRule="auto"/>
        <w:rPr>
          <w:rFonts w:ascii="宋体" w:hAnsi="宋体" w:eastAsia="宋体" w:cs="宋体"/>
          <w:color w:val="000000" w:themeColor="text1"/>
          <w:highlight w:val="none"/>
          <w14:textFill>
            <w14:solidFill>
              <w14:schemeClr w14:val="tx1"/>
            </w14:solidFill>
          </w14:textFill>
        </w:rPr>
      </w:pPr>
      <w:bookmarkStart w:id="19" w:name="_Toc19113857"/>
      <w:bookmarkStart w:id="20" w:name="_Toc98942879"/>
      <w:r>
        <w:rPr>
          <w:rFonts w:hint="eastAsia" w:ascii="宋体" w:hAnsi="宋体" w:eastAsia="宋体" w:cs="宋体"/>
          <w:color w:val="000000" w:themeColor="text1"/>
          <w:highlight w:val="none"/>
          <w14:textFill>
            <w14:solidFill>
              <w14:schemeClr w14:val="tx1"/>
            </w14:solidFill>
          </w14:textFill>
        </w:rPr>
        <w:t>第二篇 项目服务要求</w:t>
      </w:r>
      <w:bookmarkEnd w:id="19"/>
      <w:bookmarkEnd w:id="20"/>
    </w:p>
    <w:p>
      <w:pPr>
        <w:pStyle w:val="3"/>
        <w:rPr>
          <w:color w:val="000000" w:themeColor="text1"/>
          <w:highlight w:val="none"/>
          <w14:textFill>
            <w14:solidFill>
              <w14:schemeClr w14:val="tx1"/>
            </w14:solidFill>
          </w14:textFill>
        </w:rPr>
      </w:pPr>
      <w:bookmarkStart w:id="21" w:name="_Toc98942880"/>
      <w:r>
        <w:rPr>
          <w:rFonts w:hint="eastAsia"/>
          <w:color w:val="000000" w:themeColor="text1"/>
          <w:highlight w:val="none"/>
          <w14:textFill>
            <w14:solidFill>
              <w14:schemeClr w14:val="tx1"/>
            </w14:solidFill>
          </w14:textFill>
        </w:rPr>
        <w:t>一、采购项目一览表</w:t>
      </w:r>
      <w:bookmarkEnd w:id="21"/>
    </w:p>
    <w:tbl>
      <w:tblPr>
        <w:tblStyle w:val="16"/>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序</w:t>
            </w:r>
            <w:r>
              <w:rPr>
                <w:rFonts w:hint="eastAsia" w:hAnsi="宋体" w:cs="宋体"/>
                <w:b/>
                <w:color w:val="000000" w:themeColor="text1"/>
                <w:sz w:val="21"/>
                <w:szCs w:val="21"/>
                <w:highlight w:val="none"/>
                <w14:textFill>
                  <w14:solidFill>
                    <w14:schemeClr w14:val="tx1"/>
                  </w14:solidFill>
                </w14:textFill>
              </w:rPr>
              <w:t>号</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1</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配电房运维值守服务</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1项</w:t>
            </w:r>
          </w:p>
        </w:tc>
      </w:tr>
    </w:tbl>
    <w:p>
      <w:pPr>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22" w:name="_Toc98942881"/>
      <w:r>
        <w:rPr>
          <w:rFonts w:hint="eastAsia"/>
          <w:color w:val="000000" w:themeColor="text1"/>
          <w:highlight w:val="none"/>
          <w14:textFill>
            <w14:solidFill>
              <w14:schemeClr w14:val="tx1"/>
            </w14:solidFill>
          </w14:textFill>
        </w:rPr>
        <w:t>二、采购项目服务要求</w:t>
      </w:r>
      <w:bookmarkEnd w:id="22"/>
    </w:p>
    <w:p>
      <w:pPr>
        <w:snapToGrid w:val="0"/>
        <w:spacing w:line="360" w:lineRule="auto"/>
        <w:ind w:firstLine="482" w:firstLineChars="200"/>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（一）服务内容</w:t>
      </w:r>
    </w:p>
    <w:p>
      <w:pPr>
        <w:snapToGrid w:val="0"/>
        <w:spacing w:line="360" w:lineRule="auto"/>
        <w:ind w:firstLine="480" w:firstLineChars="200"/>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1、24小时专人值守配电室，并负责配电设备巡检、运行操作、故障处理、安全维护等方面工作，保障医院用电安全。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2、每个月2次的发电机测试，并协助维保单位进行日常管理。</w:t>
      </w:r>
    </w:p>
    <w:p>
      <w:pPr>
        <w:snapToGrid w:val="0"/>
        <w:spacing w:line="360" w:lineRule="auto"/>
        <w:ind w:firstLine="482" w:firstLineChars="200"/>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（二）服务质量要求</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1、各区域配电系统（包括全院所有配电箱、开关插座、电路）</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（1）维修人员根据科室要求，进行配电系统的小批量安装、改造、维修；</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（2）对各区域配电系统进行预防性巡查（检查接线部件是否牢固、有无发热，进行故障处理、清洁卫生等）；</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（3）插座、开关、线路接头等安全测试；</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（4）应急处置突发事件和设备故障，最大限度降低停电时间，确保配电设备的正常运行；</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（5）所有维修主要材料费用由采购人支付，供应商可建立一套报修系统进行标准化管理。</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 高低压配电系统工作内容（日常运行与维护及一般性维修）</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对高低压配电系统（变压器、直流屏、高压配电系统、低压配电系统等）进行巡检（1次/4h），按规定抄记运行数据，通过“看、听、闻”等方法检查系统内设备的情况，发现隐患及时处理，不能及时解决的立即上报给上级领导、医院，并与维保单位对接。详细检查内容：检查双回路高压进线电压是否正常；检查高压进线电流、指示灯、声音是否正常；检查变压器运行温度、高低压电流、噪声是否正常；检查各电柜的空气开关/漏电开关及其它电器元件是否灵活可靠，有无过热等异常情况；检查各配电柜的母排有无变色高温等情况；检查各配电柜内线路接头有无烧焦、高温等情况；</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（2）负责督促做好配电室的防水、防潮、防火等工作；</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（3）督促维保单位人员对低压配电柜的进行预防性保养（检查接线部件是否牢固、有无发热，进行故障处理、清洁卫生等）；</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（4）根据供电局的要求或医院实际情况等，全权负责组织进行10 kV变电所（专配室）两路高压供电的切换；</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（5）应急处置突发事件和设备故障，最大限度降低停电时间，确保配电设备的正常运行。</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3、发电机测试与管理</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（1）发电机需要定期进行巡检、管理和清洁，并建立相应的记录。发电机房应保持整洁，定期清扫，确保机房和设备的整洁。</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（2）发电机的测试包括电压调节、频率稳定性、功率输出和绝缘电阻测试等。电压调节测试要求电压波动范围在额定电压的±2%以内；频率稳定性要求频率波动在±0.5 Hz以内；功率输出应在额定功率的±5%范围内；绝缘电阻测试要求绝缘电阻应大于其额定电压所对应的绝缘电阻值。</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（3）测试设备和工具的选择需根据测试项目和要求进行，并定期校准，以确保其准确性和可靠性。测试过程需严格监督，并做好相关记录‌‌</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（4）应急处置突发事件和设备故障，定期进行检查，确保在应急情况下发电机能正常运行。同时应进行定期演练，确保应急响应措施顺畅有效。‌</w:t>
      </w:r>
    </w:p>
    <w:p>
      <w:pPr>
        <w:snapToGrid w:val="0"/>
        <w:spacing w:line="360" w:lineRule="auto"/>
        <w:ind w:firstLine="482" w:firstLineChars="200"/>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（三）人员配置</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根据项目岗位需求，拟派人员数量8人。</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人员要求：男性，60周岁以内，持有中华人民共和国特种作业操作证（操作项目：高压电工作业）（响应文件中提供证书复印件和供应商为其缴纳2024年12月至今社保证明材料复印件并加盖供应商公章。）。</w:t>
      </w:r>
    </w:p>
    <w:p>
      <w:pPr>
        <w:snapToGrid w:val="0"/>
        <w:spacing w:line="360" w:lineRule="auto"/>
        <w:ind w:firstLine="482" w:firstLineChars="200"/>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（四）服务承诺</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针对本项目安全责任的承诺，响应文件中提供安全责任承诺书（详见格式文件）。</w:t>
      </w:r>
    </w:p>
    <w:p>
      <w:pPr>
        <w:snapToGrid w:val="0"/>
        <w:spacing w:line="360" w:lineRule="auto"/>
        <w:ind w:firstLine="482" w:firstLineChars="200"/>
        <w:rPr>
          <w:rFonts w:hAnsi="宋体" w:cs="宋体"/>
          <w:b/>
          <w:bCs/>
          <w:color w:val="000000" w:themeColor="text1"/>
          <w:sz w:val="24"/>
          <w:szCs w:val="24"/>
          <w:highlight w:val="none"/>
          <w14:textFill>
            <w14:solidFill>
              <w14:schemeClr w14:val="tx1"/>
            </w14:solidFill>
          </w14:textFill>
        </w:rPr>
      </w:pPr>
      <w:bookmarkStart w:id="23" w:name="_Toc19113858"/>
      <w:bookmarkStart w:id="24" w:name="_Toc98942882"/>
      <w:bookmarkStart w:id="25" w:name="_Toc267320049"/>
      <w:r>
        <w:rPr>
          <w:rFonts w:hint="eastAsia" w:hAnsi="宋体" w:cs="宋体"/>
          <w:b/>
          <w:bCs/>
          <w:color w:val="000000" w:themeColor="text1"/>
          <w:sz w:val="24"/>
          <w:szCs w:val="24"/>
          <w:highlight w:val="none"/>
          <w14:textFill>
            <w14:solidFill>
              <w14:schemeClr w14:val="tx1"/>
            </w14:solidFill>
          </w14:textFill>
        </w:rPr>
        <w:t>（五）服务方案</w:t>
      </w:r>
    </w:p>
    <w:p>
      <w:pPr>
        <w:snapToGrid w:val="0"/>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响应文件中必须向医院提交项目的整体服务方案、项目的组织架构及人员配备方案、项目的运维工具管理方案、项目的各项管理制度、项目的安全管理方案、服务质量保障方案、应急服务方案，中标人必须严格按照以上方案执行。</w:t>
      </w:r>
    </w:p>
    <w:p>
      <w:pPr>
        <w:snapToGrid w:val="0"/>
        <w:spacing w:line="360" w:lineRule="auto"/>
        <w:ind w:firstLine="480" w:firstLineChars="200"/>
        <w:rPr>
          <w:rFonts w:hint="eastAsia" w:hAnsi="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（六）其他要求</w:t>
      </w:r>
    </w:p>
    <w:p>
      <w:pPr>
        <w:snapToGrid w:val="0"/>
        <w:spacing w:line="360" w:lineRule="auto"/>
        <w:ind w:firstLine="480" w:firstLineChars="200"/>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供应商营业执照经营范围</w:t>
      </w:r>
      <w:r>
        <w:rPr>
          <w:rFonts w:hint="eastAsia" w:hAnsi="宋体" w:cs="宋体"/>
          <w:color w:val="000000" w:themeColor="text1"/>
          <w:sz w:val="24"/>
          <w:szCs w:val="24"/>
          <w:highlight w:val="none"/>
          <w:lang w:eastAsia="zh-CN"/>
          <w14:textFill>
            <w14:solidFill>
              <w14:schemeClr w14:val="tx1"/>
            </w14:solidFill>
          </w14:textFill>
        </w:rPr>
        <w:t>须</w:t>
      </w:r>
      <w:r>
        <w:rPr>
          <w:rFonts w:hint="eastAsia" w:hAnsi="宋体" w:cs="宋体"/>
          <w:color w:val="000000" w:themeColor="text1"/>
          <w:sz w:val="24"/>
          <w:szCs w:val="24"/>
          <w:highlight w:val="none"/>
          <w14:textFill>
            <w14:solidFill>
              <w14:schemeClr w14:val="tx1"/>
            </w14:solidFill>
          </w14:textFill>
        </w:rPr>
        <w:t>包含物业管理</w:t>
      </w:r>
      <w:r>
        <w:rPr>
          <w:rFonts w:hint="eastAsia" w:hAnsi="宋体" w:cs="宋体"/>
          <w:color w:val="000000" w:themeColor="text1"/>
          <w:sz w:val="24"/>
          <w:szCs w:val="24"/>
          <w:highlight w:val="none"/>
          <w:lang w:eastAsia="zh-CN"/>
          <w14:textFill>
            <w14:solidFill>
              <w14:schemeClr w14:val="tx1"/>
            </w14:solidFill>
          </w14:textFill>
        </w:rPr>
        <w:t>或物业服务。</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br w:type="page"/>
      </w:r>
    </w:p>
    <w:p>
      <w:pPr>
        <w:pStyle w:val="2"/>
        <w:spacing w:line="360" w:lineRule="auto"/>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第三篇 项目商务要求</w:t>
      </w:r>
      <w:bookmarkEnd w:id="23"/>
      <w:bookmarkEnd w:id="24"/>
      <w:bookmarkStart w:id="26" w:name="_Toc505608529"/>
    </w:p>
    <w:bookmarkEnd w:id="25"/>
    <w:bookmarkEnd w:id="26"/>
    <w:p>
      <w:pPr>
        <w:snapToGrid w:val="0"/>
        <w:spacing w:line="360" w:lineRule="auto"/>
        <w:rPr>
          <w:color w:val="000000" w:themeColor="text1"/>
          <w:sz w:val="24"/>
          <w:highlight w:val="none"/>
          <w14:textFill>
            <w14:solidFill>
              <w14:schemeClr w14:val="tx1"/>
            </w14:solidFill>
          </w14:textFill>
        </w:rPr>
      </w:pPr>
    </w:p>
    <w:p>
      <w:pPr>
        <w:pStyle w:val="4"/>
        <w:keepNext w:val="0"/>
        <w:keepLines w:val="0"/>
        <w:overflowPunct w:val="0"/>
        <w:spacing w:before="0" w:after="0" w:line="360" w:lineRule="auto"/>
        <w:ind w:firstLine="241" w:firstLineChars="100"/>
        <w:rPr>
          <w:rFonts w:hAnsi="宋体" w:cs="宋体"/>
          <w:color w:val="000000" w:themeColor="text1"/>
          <w:sz w:val="24"/>
          <w:szCs w:val="24"/>
          <w:highlight w:val="none"/>
          <w14:textFill>
            <w14:solidFill>
              <w14:schemeClr w14:val="tx1"/>
            </w14:solidFill>
          </w14:textFill>
        </w:rPr>
      </w:pPr>
      <w:bookmarkStart w:id="27" w:name="_Toc76462328"/>
      <w:bookmarkStart w:id="28" w:name="_Toc106030883"/>
      <w:bookmarkStart w:id="29" w:name="_Toc160530814"/>
      <w:bookmarkStart w:id="30" w:name="_Toc344475120"/>
      <w:bookmarkStart w:id="31" w:name="_Toc267320050"/>
      <w:bookmarkStart w:id="32" w:name="_Toc505608531"/>
      <w:r>
        <w:rPr>
          <w:rFonts w:hint="eastAsia" w:hAnsi="宋体" w:cs="宋体"/>
          <w:color w:val="000000" w:themeColor="text1"/>
          <w:sz w:val="24"/>
          <w:szCs w:val="24"/>
          <w:highlight w:val="none"/>
          <w14:textFill>
            <w14:solidFill>
              <w14:schemeClr w14:val="tx1"/>
            </w14:solidFill>
          </w14:textFill>
        </w:rPr>
        <w:t>一、服务期、地点及验收方式</w:t>
      </w:r>
      <w:bookmarkEnd w:id="27"/>
      <w:bookmarkEnd w:id="28"/>
      <w:bookmarkEnd w:id="29"/>
      <w:bookmarkEnd w:id="30"/>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（一）服务期：本项目服务期限从</w:t>
      </w:r>
      <w:r>
        <w:rPr>
          <w:rFonts w:hint="eastAsia" w:hAnsi="宋体" w:cs="宋体"/>
          <w:b/>
          <w:color w:val="000000" w:themeColor="text1"/>
          <w:sz w:val="24"/>
          <w:szCs w:val="24"/>
          <w:highlight w:val="none"/>
          <w14:textFill>
            <w14:solidFill>
              <w14:schemeClr w14:val="tx1"/>
            </w14:solidFill>
          </w14:textFill>
        </w:rPr>
        <w:t>合同签订之日起至2025年10月31日止。</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（二）服务地点：重庆医科大学附属口腔医院（重庆市口腔医院）</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（三）验收方式：由采购人自行组织验收。</w:t>
      </w:r>
    </w:p>
    <w:p>
      <w:pPr>
        <w:pStyle w:val="4"/>
        <w:keepNext w:val="0"/>
        <w:keepLines w:val="0"/>
        <w:overflowPunct w:val="0"/>
        <w:spacing w:before="0" w:after="0" w:line="360" w:lineRule="auto"/>
        <w:ind w:firstLine="241" w:firstLineChars="100"/>
        <w:rPr>
          <w:rFonts w:hAnsi="宋体" w:cs="宋体"/>
          <w:color w:val="000000" w:themeColor="text1"/>
          <w:sz w:val="24"/>
          <w:szCs w:val="24"/>
          <w:highlight w:val="none"/>
          <w14:textFill>
            <w14:solidFill>
              <w14:schemeClr w14:val="tx1"/>
            </w14:solidFill>
          </w14:textFill>
        </w:rPr>
      </w:pPr>
      <w:bookmarkStart w:id="33" w:name="_Toc344475121"/>
      <w:bookmarkStart w:id="34" w:name="_Toc76462329"/>
      <w:bookmarkStart w:id="35" w:name="_Toc106030884"/>
      <w:bookmarkStart w:id="36" w:name="_Toc160530815"/>
      <w:r>
        <w:rPr>
          <w:rFonts w:hint="eastAsia" w:hAnsi="宋体" w:cs="宋体"/>
          <w:color w:val="000000" w:themeColor="text1"/>
          <w:sz w:val="24"/>
          <w:szCs w:val="24"/>
          <w:highlight w:val="none"/>
          <w14:textFill>
            <w14:solidFill>
              <w14:schemeClr w14:val="tx1"/>
            </w14:solidFill>
          </w14:textFill>
        </w:rPr>
        <w:t>二、</w:t>
      </w:r>
      <w:bookmarkEnd w:id="33"/>
      <w:r>
        <w:rPr>
          <w:rFonts w:hint="eastAsia" w:hAnsi="宋体" w:cs="宋体"/>
          <w:color w:val="000000" w:themeColor="text1"/>
          <w:sz w:val="24"/>
          <w:szCs w:val="24"/>
          <w:highlight w:val="none"/>
          <w14:textFill>
            <w14:solidFill>
              <w14:schemeClr w14:val="tx1"/>
            </w14:solidFill>
          </w14:textFill>
        </w:rPr>
        <w:t>报价要求</w:t>
      </w:r>
      <w:bookmarkEnd w:id="34"/>
      <w:bookmarkEnd w:id="35"/>
      <w:bookmarkEnd w:id="36"/>
    </w:p>
    <w:p>
      <w:pPr>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本次报价为人民币报价，</w:t>
      </w:r>
      <w:r>
        <w:rPr>
          <w:rFonts w:hint="eastAsia" w:hAnsi="宋体" w:cs="宋体"/>
          <w:b/>
          <w:color w:val="000000" w:themeColor="text1"/>
          <w:sz w:val="24"/>
          <w:szCs w:val="24"/>
          <w:highlight w:val="none"/>
          <w14:textFill>
            <w14:solidFill>
              <w14:schemeClr w14:val="tx1"/>
            </w14:solidFill>
          </w14:textFill>
        </w:rPr>
        <w:t>供应商应根据本项目限价填写报价</w:t>
      </w:r>
      <w:r>
        <w:rPr>
          <w:rFonts w:hint="eastAsia" w:hAnsi="宋体" w:cs="宋体"/>
          <w:color w:val="000000" w:themeColor="text1"/>
          <w:sz w:val="24"/>
          <w:szCs w:val="24"/>
          <w:highlight w:val="none"/>
          <w14:textFill>
            <w14:solidFill>
              <w14:schemeClr w14:val="tx1"/>
            </w14:solidFill>
          </w14:textFill>
        </w:rPr>
        <w:t>，报价须包含但不限于：完成本项目所需的服务费、人员派遣工资、社保、劳务费等所有费用等完成本项目所需的所有费用。除国家相关政策性原因致重庆市最低工资标准或社保缴费基数调整外，因成交供应商自身原因造成漏报、少报皆由其自行承担责任，采购人不再补偿任何费用。</w:t>
      </w:r>
    </w:p>
    <w:p>
      <w:pPr>
        <w:pStyle w:val="4"/>
        <w:keepNext w:val="0"/>
        <w:keepLines w:val="0"/>
        <w:overflowPunct w:val="0"/>
        <w:spacing w:before="0" w:after="0" w:line="360" w:lineRule="auto"/>
        <w:ind w:firstLine="482" w:firstLineChars="200"/>
        <w:rPr>
          <w:rFonts w:hAnsi="宋体" w:cs="宋体"/>
          <w:color w:val="000000" w:themeColor="text1"/>
          <w:sz w:val="24"/>
          <w:szCs w:val="24"/>
          <w:highlight w:val="none"/>
          <w14:textFill>
            <w14:solidFill>
              <w14:schemeClr w14:val="tx1"/>
            </w14:solidFill>
          </w14:textFill>
        </w:rPr>
      </w:pPr>
      <w:bookmarkStart w:id="37" w:name="_Toc98942885"/>
      <w:r>
        <w:rPr>
          <w:rFonts w:hint="eastAsia" w:hAnsi="宋体" w:cs="宋体"/>
          <w:color w:val="000000" w:themeColor="text1"/>
          <w:sz w:val="24"/>
          <w:szCs w:val="24"/>
          <w:highlight w:val="none"/>
          <w14:textFill>
            <w14:solidFill>
              <w14:schemeClr w14:val="tx1"/>
            </w14:solidFill>
          </w14:textFill>
        </w:rPr>
        <w:t>三、</w:t>
      </w:r>
      <w:bookmarkEnd w:id="31"/>
      <w:bookmarkEnd w:id="32"/>
      <w:bookmarkEnd w:id="37"/>
      <w:r>
        <w:rPr>
          <w:rFonts w:hint="eastAsia" w:hAnsi="宋体" w:cs="宋体"/>
          <w:color w:val="000000" w:themeColor="text1"/>
          <w:sz w:val="24"/>
          <w:szCs w:val="24"/>
          <w:highlight w:val="none"/>
          <w14:textFill>
            <w14:solidFill>
              <w14:schemeClr w14:val="tx1"/>
            </w14:solidFill>
          </w14:textFill>
        </w:rPr>
        <w:t>考核</w:t>
      </w:r>
    </w:p>
    <w:p>
      <w:pPr>
        <w:snapToGrid w:val="0"/>
        <w:spacing w:line="360" w:lineRule="auto"/>
        <w:ind w:firstLine="480" w:firstLineChars="200"/>
        <w:rPr>
          <w:rFonts w:hAnsi="宋体" w:cs="宋体"/>
          <w:color w:val="000000" w:themeColor="text1"/>
          <w:highlight w:val="none"/>
          <w14:textFill>
            <w14:solidFill>
              <w14:schemeClr w14:val="tx1"/>
            </w14:solidFill>
          </w14:textFill>
        </w:rPr>
      </w:pPr>
      <w:bookmarkStart w:id="38" w:name="_Toc267320051"/>
      <w:bookmarkStart w:id="39" w:name="_Toc505608532"/>
      <w:bookmarkStart w:id="40" w:name="_Toc98942886"/>
      <w:r>
        <w:rPr>
          <w:rFonts w:hint="eastAsia" w:hAnsi="宋体" w:cs="宋体"/>
          <w:color w:val="000000" w:themeColor="text1"/>
          <w:sz w:val="24"/>
          <w:szCs w:val="24"/>
          <w:highlight w:val="none"/>
          <w14:textFill>
            <w14:solidFill>
              <w14:schemeClr w14:val="tx1"/>
            </w14:solidFill>
          </w14:textFill>
        </w:rPr>
        <w:t>在服务期内由采购人按照考核办法进行考核管理（具体考核办法详见下表）</w:t>
      </w:r>
    </w:p>
    <w:p>
      <w:pPr>
        <w:snapToGrid w:val="0"/>
        <w:spacing w:line="360" w:lineRule="auto"/>
        <w:ind w:left="-170" w:leftChars="-50" w:right="-170" w:rightChars="-50"/>
        <w:jc w:val="center"/>
        <w:rPr>
          <w:rFonts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重庆医科大学附属</w:t>
      </w:r>
      <w:bookmarkStart w:id="41" w:name="_Toc24191"/>
      <w:bookmarkStart w:id="42" w:name="_Toc132184940"/>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口腔医院配电值守综合考核表</w:t>
      </w:r>
      <w:bookmarkEnd w:id="41"/>
      <w:bookmarkEnd w:id="42"/>
    </w:p>
    <w:tbl>
      <w:tblPr>
        <w:tblStyle w:val="1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7"/>
        <w:gridCol w:w="3353"/>
        <w:gridCol w:w="3171"/>
        <w:gridCol w:w="684"/>
        <w:gridCol w:w="1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w:t>
            </w:r>
          </w:p>
        </w:tc>
        <w:tc>
          <w:tcPr>
            <w:tcW w:w="1726" w:type="pct"/>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考核标准</w:t>
            </w:r>
          </w:p>
        </w:tc>
        <w:tc>
          <w:tcPr>
            <w:tcW w:w="1631" w:type="pct"/>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评分细则</w:t>
            </w:r>
          </w:p>
        </w:tc>
        <w:tc>
          <w:tcPr>
            <w:tcW w:w="352" w:type="pct"/>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得分</w:t>
            </w:r>
          </w:p>
        </w:tc>
        <w:tc>
          <w:tcPr>
            <w:tcW w:w="723" w:type="pct"/>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Merge w:val="restart"/>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运维服务基本要求</w:t>
            </w:r>
          </w:p>
        </w:tc>
        <w:tc>
          <w:tcPr>
            <w:tcW w:w="1726"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遵守劳动纪律、按时上、下班，不做与工作无关的事，不得擅自离岗</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每迟到或早退一人次，扣0.5分</w:t>
            </w:r>
          </w:p>
        </w:tc>
        <w:tc>
          <w:tcPr>
            <w:tcW w:w="352"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Merge w:val="continue"/>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26"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工作时间穿着整洁、得体，按规定要求着工作装，不在室内等区域吸烟。</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每发现一次不合要求或室内吸烟，扣0.5分。</w:t>
            </w:r>
          </w:p>
        </w:tc>
        <w:tc>
          <w:tcPr>
            <w:tcW w:w="352"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Merge w:val="continue"/>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26"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服务认真、热情，不得与患者、家属及工作人员发生争执。</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出现一次争执扣1分，扣完为止。</w:t>
            </w:r>
          </w:p>
        </w:tc>
        <w:tc>
          <w:tcPr>
            <w:tcW w:w="352"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jc w:val="center"/>
        </w:trPr>
        <w:tc>
          <w:tcPr>
            <w:tcW w:w="565" w:type="pct"/>
            <w:vMerge w:val="continue"/>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26"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工作积极主动，出现故障或报事报修，能做到不推脱、不懈怠。</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每发现一人次工作不积极，扣1分，扣完为止。</w:t>
            </w:r>
          </w:p>
        </w:tc>
        <w:tc>
          <w:tcPr>
            <w:tcW w:w="352"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Merge w:val="restart"/>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运维服务安全要求</w:t>
            </w:r>
          </w:p>
        </w:tc>
        <w:tc>
          <w:tcPr>
            <w:tcW w:w="1726"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配电运维管理不当造成人身伤亡责任事故数量＞0时该项得分为0</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每发生一次扣20-100分。并根据约定赔偿院方损失。</w:t>
            </w:r>
          </w:p>
        </w:tc>
        <w:tc>
          <w:tcPr>
            <w:tcW w:w="352"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Merge w:val="continue"/>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26"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配电运维管理不当造成设备、系统责任事故</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发生系统、设备责任事故每次扣5分，发生设备事故且影响医疗工作扣10分。并根据约定赔偿院方损失。</w:t>
            </w:r>
          </w:p>
        </w:tc>
        <w:tc>
          <w:tcPr>
            <w:tcW w:w="352"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Merge w:val="continue"/>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26"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配电运维管理不当造成火灾责任事故数量＞0时</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每发生一次扣20-100分。并根据约定赔偿院方损失。</w:t>
            </w:r>
          </w:p>
        </w:tc>
        <w:tc>
          <w:tcPr>
            <w:tcW w:w="352"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Merge w:val="continue"/>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26"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因管理责任造成停电事故（因市电停电原因造成的事故除外）</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发生停电责任事故每次扣5分，发生停电责任事故且影响医疗安全扣10-100分。并根据约定赔偿院方损失。</w:t>
            </w:r>
          </w:p>
        </w:tc>
        <w:tc>
          <w:tcPr>
            <w:tcW w:w="352"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人员培训要求</w:t>
            </w:r>
          </w:p>
        </w:tc>
        <w:tc>
          <w:tcPr>
            <w:tcW w:w="1726"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人员培训率=参与培训人员数/应参与培训人员总数（包含物业人员、维保单位相关人员）</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人员培训率≥85%得5分；</w:t>
            </w:r>
          </w:p>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人员培训率＜65%不得分；</w:t>
            </w:r>
          </w:p>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介于以上两者之间得3分。</w:t>
            </w:r>
          </w:p>
        </w:tc>
        <w:tc>
          <w:tcPr>
            <w:tcW w:w="352"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持证上岗要求</w:t>
            </w:r>
          </w:p>
        </w:tc>
        <w:tc>
          <w:tcPr>
            <w:tcW w:w="1726"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持证上岗率=各种操作、资格证持证人数/招标要求持证的各种证件总数</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持证上岗率=100%得2.5分，否则得0分。</w:t>
            </w:r>
          </w:p>
        </w:tc>
        <w:tc>
          <w:tcPr>
            <w:tcW w:w="352"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人员稳定率</w:t>
            </w:r>
          </w:p>
        </w:tc>
        <w:tc>
          <w:tcPr>
            <w:tcW w:w="1726"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人员稳定率=（服务人数-当月离职人数）/服务人数</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人员稳定率≥90%得2分；</w:t>
            </w:r>
          </w:p>
          <w:p>
            <w:pPr>
              <w:pStyle w:val="6"/>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人员稳定率＜70%不得分；</w:t>
            </w:r>
          </w:p>
          <w:p>
            <w:pPr>
              <w:pStyle w:val="6"/>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介于以上两者之间得1分。</w:t>
            </w:r>
          </w:p>
        </w:tc>
        <w:tc>
          <w:tcPr>
            <w:tcW w:w="352"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pct"/>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文档编制整理及时性</w:t>
            </w:r>
          </w:p>
        </w:tc>
        <w:tc>
          <w:tcPr>
            <w:tcW w:w="1726"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能及时完成交代的文档编制整理要求得5分，否则按未及时提供的文档数量扣分。</w:t>
            </w:r>
          </w:p>
        </w:tc>
        <w:tc>
          <w:tcPr>
            <w:tcW w:w="1631" w:type="pct"/>
            <w:vAlign w:val="center"/>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每少提供一样扣1分。</w:t>
            </w:r>
          </w:p>
        </w:tc>
        <w:tc>
          <w:tcPr>
            <w:tcW w:w="352" w:type="pct"/>
            <w:tcBorders>
              <w:right w:val="single" w:color="auto" w:sz="4" w:space="0"/>
            </w:tcBorders>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Borders>
              <w:left w:val="single" w:color="auto" w:sz="4" w:space="0"/>
            </w:tcBorders>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3923" w:type="pct"/>
            <w:gridSpan w:val="3"/>
            <w:tcBorders>
              <w:right w:val="single" w:color="auto" w:sz="4" w:space="0"/>
            </w:tcBorders>
            <w:vAlign w:val="center"/>
          </w:tcPr>
          <w:p>
            <w:pPr>
              <w:snapToGrid w:val="0"/>
              <w:spacing w:line="360" w:lineRule="auto"/>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合计</w:t>
            </w:r>
          </w:p>
        </w:tc>
        <w:tc>
          <w:tcPr>
            <w:tcW w:w="352" w:type="pct"/>
            <w:tcBorders>
              <w:left w:val="single" w:color="auto" w:sz="4" w:space="0"/>
              <w:right w:val="single" w:color="auto" w:sz="4" w:space="0"/>
            </w:tcBorders>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3" w:type="pct"/>
            <w:tcBorders>
              <w:left w:val="single" w:color="auto" w:sz="4" w:space="0"/>
            </w:tcBorders>
          </w:tcPr>
          <w:p>
            <w:pPr>
              <w:snapToGrid w:val="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tc>
      </w:tr>
    </w:tbl>
    <w:p>
      <w:pPr>
        <w:pStyle w:val="4"/>
        <w:keepNext w:val="0"/>
        <w:keepLines w:val="0"/>
        <w:overflowPunct w:val="0"/>
        <w:spacing w:before="0" w:after="0" w:line="360" w:lineRule="auto"/>
        <w:ind w:firstLine="482" w:firstLineChars="200"/>
        <w:rPr>
          <w:rFonts w:hAnsi="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说明：考核为100分，乙方当月得分达到90分，甲方全额支付乙方当月服务费用；当月得分80-90分，甲方以90分为基准，按照50元/分扣罚乙方当月服务费用；当月得分70-80分，甲方以90分为基准，按照100元/分扣罚乙方当月服务费用；当月得分60-70分，甲方以90分为基准，按照200元/分扣罚乙方当月服务费用。如乙方连续2个月得分在70分以下的，甲方有权终止合同。</w:t>
      </w:r>
    </w:p>
    <w:p>
      <w:pPr>
        <w:pStyle w:val="4"/>
        <w:keepNext w:val="0"/>
        <w:keepLines w:val="0"/>
        <w:overflowPunct w:val="0"/>
        <w:spacing w:before="0" w:after="0" w:line="360" w:lineRule="auto"/>
        <w:ind w:firstLine="482"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四、付款方式</w:t>
      </w:r>
      <w:bookmarkEnd w:id="38"/>
      <w:bookmarkEnd w:id="39"/>
      <w:bookmarkEnd w:id="40"/>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bookmarkStart w:id="43" w:name="_Toc267320052"/>
      <w:bookmarkStart w:id="44" w:name="_Toc98942887"/>
      <w:bookmarkStart w:id="45" w:name="_Toc505608533"/>
      <w:r>
        <w:rPr>
          <w:rFonts w:hint="eastAsia" w:hAnsi="宋体" w:cs="宋体"/>
          <w:color w:val="000000" w:themeColor="text1"/>
          <w:sz w:val="24"/>
          <w:szCs w:val="24"/>
          <w:highlight w:val="none"/>
          <w14:textFill>
            <w14:solidFill>
              <w14:schemeClr w14:val="tx1"/>
            </w14:solidFill>
          </w14:textFill>
        </w:rPr>
        <w:t>（一）采用月支付方式，根据中标人服务月份据实结算。中标人按考核结果确定的服务费金额出具有效发票，采购人收到相关票据及依据后15个工作日内按程序办理支付手续，并完成支付。</w:t>
      </w:r>
    </w:p>
    <w:p>
      <w:pPr>
        <w:pStyle w:val="4"/>
        <w:keepNext w:val="0"/>
        <w:keepLines w:val="0"/>
        <w:overflowPunct w:val="0"/>
        <w:spacing w:before="0" w:after="0" w:line="360" w:lineRule="auto"/>
        <w:ind w:firstLine="480" w:firstLineChars="200"/>
        <w:rPr>
          <w:rFonts w:hAnsi="宋体" w:cs="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14:textFill>
            <w14:solidFill>
              <w14:schemeClr w14:val="tx1"/>
            </w14:solidFill>
          </w14:textFill>
        </w:rPr>
        <w:t>（二）履约保证金</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1.中标人在合同签订前，向采购人交纳合同总金额的3%作为履约保证金（以支票、汇票、本票或者金融机构、担保机构出具的保函等非现金形式提交；若以保函形式提交的，须为见索即付形式保函）。</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2.经采购人考核，中标人严格遵守合同约定，未发生违约情况的，则在合同期满且处理完合同期内发生的劳动、劳务纠纷等遗留问题并按期撤场后退还。</w:t>
      </w:r>
    </w:p>
    <w:p>
      <w:pPr>
        <w:pStyle w:val="4"/>
        <w:keepNext w:val="0"/>
        <w:keepLines w:val="0"/>
        <w:overflowPunct w:val="0"/>
        <w:spacing w:before="0" w:after="0" w:line="360" w:lineRule="auto"/>
        <w:ind w:firstLine="482"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五、知识产权</w:t>
      </w:r>
      <w:bookmarkEnd w:id="43"/>
      <w:bookmarkEnd w:id="44"/>
      <w:bookmarkEnd w:id="45"/>
    </w:p>
    <w:p>
      <w:pPr>
        <w:spacing w:line="360" w:lineRule="auto"/>
        <w:ind w:firstLine="424" w:firstLineChars="177"/>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采购人在中华人民共和国境内使用投标人提供的服务时免受第三方提出的侵犯其专利权或其它知识产权的起诉。如果第三方提出侵权指控，中标人应承担由此而引起的一切法律责任和费用。</w:t>
      </w:r>
    </w:p>
    <w:p>
      <w:pPr>
        <w:pStyle w:val="4"/>
        <w:keepNext w:val="0"/>
        <w:keepLines w:val="0"/>
        <w:overflowPunct w:val="0"/>
        <w:spacing w:before="0" w:after="0" w:line="360" w:lineRule="auto"/>
        <w:ind w:firstLine="482" w:firstLineChars="200"/>
        <w:rPr>
          <w:rFonts w:hAnsi="宋体" w:cs="宋体"/>
          <w:color w:val="000000" w:themeColor="text1"/>
          <w:sz w:val="24"/>
          <w:szCs w:val="24"/>
          <w:highlight w:val="none"/>
          <w14:textFill>
            <w14:solidFill>
              <w14:schemeClr w14:val="tx1"/>
            </w14:solidFill>
          </w14:textFill>
        </w:rPr>
      </w:pPr>
      <w:bookmarkStart w:id="46" w:name="_Toc505608534"/>
      <w:bookmarkStart w:id="47" w:name="_Toc98942888"/>
      <w:bookmarkStart w:id="48" w:name="_Toc267320053"/>
      <w:r>
        <w:rPr>
          <w:rFonts w:hint="eastAsia" w:hAnsi="宋体" w:cs="宋体"/>
          <w:color w:val="000000" w:themeColor="text1"/>
          <w:sz w:val="24"/>
          <w:szCs w:val="24"/>
          <w:highlight w:val="none"/>
          <w14:textFill>
            <w14:solidFill>
              <w14:schemeClr w14:val="tx1"/>
            </w14:solidFill>
          </w14:textFill>
        </w:rPr>
        <w:t>六、培训</w:t>
      </w:r>
      <w:bookmarkEnd w:id="46"/>
      <w:bookmarkEnd w:id="47"/>
      <w:bookmarkEnd w:id="48"/>
    </w:p>
    <w:p>
      <w:pPr>
        <w:spacing w:line="360" w:lineRule="auto"/>
        <w:ind w:firstLine="424" w:firstLineChars="177"/>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投标人对其提供的服务所涉及的相关服务人员应尽培训义务。</w:t>
      </w:r>
    </w:p>
    <w:p>
      <w:pPr>
        <w:pStyle w:val="4"/>
        <w:keepNext w:val="0"/>
        <w:keepLines w:val="0"/>
        <w:overflowPunct w:val="0"/>
        <w:spacing w:before="0" w:after="0" w:line="360" w:lineRule="auto"/>
        <w:ind w:firstLine="482" w:firstLineChars="200"/>
        <w:rPr>
          <w:rFonts w:hAnsi="宋体" w:cs="宋体"/>
          <w:color w:val="000000" w:themeColor="text1"/>
          <w:sz w:val="24"/>
          <w:szCs w:val="24"/>
          <w:highlight w:val="none"/>
          <w14:textFill>
            <w14:solidFill>
              <w14:schemeClr w14:val="tx1"/>
            </w14:solidFill>
          </w14:textFill>
        </w:rPr>
      </w:pPr>
      <w:bookmarkStart w:id="49" w:name="_Toc267320054"/>
      <w:bookmarkStart w:id="50" w:name="_Toc98942889"/>
      <w:bookmarkStart w:id="51" w:name="_Toc505608536"/>
      <w:r>
        <w:rPr>
          <w:rFonts w:hint="eastAsia" w:hAnsi="宋体" w:cs="宋体"/>
          <w:color w:val="000000" w:themeColor="text1"/>
          <w:sz w:val="24"/>
          <w:szCs w:val="24"/>
          <w:highlight w:val="none"/>
          <w14:textFill>
            <w14:solidFill>
              <w14:schemeClr w14:val="tx1"/>
            </w14:solidFill>
          </w14:textFill>
        </w:rPr>
        <w:t>七、</w:t>
      </w:r>
      <w:bookmarkEnd w:id="49"/>
      <w:r>
        <w:rPr>
          <w:rFonts w:hint="eastAsia" w:hAnsi="宋体" w:cs="宋体"/>
          <w:color w:val="000000" w:themeColor="text1"/>
          <w:sz w:val="24"/>
          <w:szCs w:val="24"/>
          <w:highlight w:val="none"/>
          <w14:textFill>
            <w14:solidFill>
              <w14:schemeClr w14:val="tx1"/>
            </w14:solidFill>
          </w14:textFill>
        </w:rPr>
        <w:t>其他商务要求内容</w:t>
      </w:r>
      <w:bookmarkEnd w:id="50"/>
      <w:bookmarkEnd w:id="51"/>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7.1.投标人必须在响应文件中对以上条款和服务承诺明确列出，承诺内容必须达到本篇及竞争性比选文件其他条款的要求。</w:t>
      </w:r>
    </w:p>
    <w:p>
      <w:pPr>
        <w:spacing w:line="360" w:lineRule="auto"/>
        <w:ind w:firstLine="360" w:firstLineChars="15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7.2.其他未尽事宜由供需双方在采购合同中详细约定，投标人在响应文件中所承诺的所有经济、技术和商务条款都要纳入成交合同中。</w:t>
      </w:r>
    </w:p>
    <w:p>
      <w:pPr>
        <w:spacing w:line="360" w:lineRule="auto"/>
        <w:ind w:firstLine="360" w:firstLineChars="15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7.3.如中标人因违反或不履行投标时承诺的商务和技术要求时，采购人保留对其所提供的相关证明材料进行验证的权利，发现中标人提供虚假资料的，采购人有权按照相关法律法规的规定，取消违反招标采购文件约定的中标人中标资格，以及按医院采购制度对其进行处罚。</w:t>
      </w:r>
    </w:p>
    <w:p>
      <w:pPr>
        <w:spacing w:line="360" w:lineRule="auto"/>
        <w:ind w:firstLine="360" w:firstLineChars="15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7.4.中标人应保证所提供的服务整体功能的实现。如发生以下情况，采购人有权取消其成交资格：1、如中标人放弃成交项目或在签订合时擅自改变成交状态的；2、所提供的服务在未满足响应文件及相关承诺的；3、证实提交了相关虚假文件的。发生上述情况，采购人除申请取消其成交资格同时，有权退货及终止合同，中标人一切损失自行承担。同时中标人按合同金额的3%的履约保证金赔付采购人损失。</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7.5.竞争性比选文件、中标人的响应文件及有效承诺文件等，均为签订合同的依据，是合同不可分割的一部分。</w:t>
      </w:r>
    </w:p>
    <w:p>
      <w:pPr>
        <w:spacing w:line="360" w:lineRule="auto"/>
        <w:ind w:firstLine="480"/>
        <w:rPr>
          <w:rFonts w:hAnsi="宋体" w:cs="宋体"/>
          <w:color w:val="000000" w:themeColor="text1"/>
          <w:sz w:val="28"/>
          <w:szCs w:val="28"/>
          <w:highlight w:val="none"/>
          <w14:textFill>
            <w14:solidFill>
              <w14:schemeClr w14:val="tx1"/>
            </w14:solidFill>
          </w14:textFill>
        </w:rPr>
      </w:pPr>
    </w:p>
    <w:p>
      <w:pPr>
        <w:spacing w:line="360" w:lineRule="auto"/>
        <w:ind w:firstLine="480"/>
        <w:rPr>
          <w:rFonts w:hAnsi="宋体" w:cs="宋体"/>
          <w:color w:val="000000" w:themeColor="text1"/>
          <w:sz w:val="28"/>
          <w:szCs w:val="28"/>
          <w:highlight w:val="none"/>
          <w14:textFill>
            <w14:solidFill>
              <w14:schemeClr w14:val="tx1"/>
            </w14:solidFill>
          </w14:textFill>
        </w:rPr>
      </w:pPr>
      <w:r>
        <w:rPr>
          <w:rFonts w:hAnsi="宋体" w:cs="宋体"/>
          <w:color w:val="000000" w:themeColor="text1"/>
          <w:sz w:val="28"/>
          <w:szCs w:val="28"/>
          <w:highlight w:val="none"/>
          <w14:textFill>
            <w14:solidFill>
              <w14:schemeClr w14:val="tx1"/>
            </w14:solidFill>
          </w14:textFill>
        </w:rPr>
        <w:br w:type="page"/>
      </w:r>
    </w:p>
    <w:p>
      <w:pPr>
        <w:pStyle w:val="2"/>
        <w:spacing w:line="360" w:lineRule="auto"/>
        <w:rPr>
          <w:rFonts w:ascii="宋体" w:hAnsi="宋体" w:eastAsia="宋体" w:cs="宋体"/>
          <w:color w:val="000000" w:themeColor="text1"/>
          <w:highlight w:val="none"/>
          <w14:textFill>
            <w14:solidFill>
              <w14:schemeClr w14:val="tx1"/>
            </w14:solidFill>
          </w14:textFill>
        </w:rPr>
      </w:pPr>
      <w:bookmarkStart w:id="52" w:name="_Toc19113859"/>
      <w:bookmarkStart w:id="53" w:name="_Toc98942890"/>
      <w:r>
        <w:rPr>
          <w:rFonts w:hint="eastAsia" w:ascii="宋体" w:hAnsi="宋体" w:eastAsia="宋体" w:cs="宋体"/>
          <w:color w:val="000000" w:themeColor="text1"/>
          <w:highlight w:val="none"/>
          <w14:textFill>
            <w14:solidFill>
              <w14:schemeClr w14:val="tx1"/>
            </w14:solidFill>
          </w14:textFill>
        </w:rPr>
        <w:t>第四篇 资格审查及评分办法</w:t>
      </w:r>
      <w:bookmarkEnd w:id="52"/>
      <w:bookmarkEnd w:id="53"/>
    </w:p>
    <w:p>
      <w:pPr>
        <w:pStyle w:val="3"/>
        <w:rPr>
          <w:color w:val="000000" w:themeColor="text1"/>
          <w:highlight w:val="none"/>
          <w14:textFill>
            <w14:solidFill>
              <w14:schemeClr w14:val="tx1"/>
            </w14:solidFill>
          </w14:textFill>
        </w:rPr>
      </w:pPr>
      <w:bookmarkStart w:id="54" w:name="_Toc98942891"/>
      <w:r>
        <w:rPr>
          <w:rFonts w:hint="eastAsia"/>
          <w:color w:val="000000" w:themeColor="text1"/>
          <w:highlight w:val="none"/>
          <w14:textFill>
            <w14:solidFill>
              <w14:schemeClr w14:val="tx1"/>
            </w14:solidFill>
          </w14:textFill>
        </w:rPr>
        <w:t>一、资格审查</w:t>
      </w:r>
      <w:bookmarkEnd w:id="54"/>
    </w:p>
    <w:p>
      <w:pPr>
        <w:spacing w:line="360" w:lineRule="auto"/>
        <w:ind w:firstLine="566" w:firstLineChars="236"/>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评标委员会对响应文件中的资格证明文件进行审查。资格审查资料表如下：</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序号</w:t>
            </w:r>
          </w:p>
        </w:tc>
        <w:tc>
          <w:tcPr>
            <w:tcW w:w="3885" w:type="dxa"/>
            <w:gridSpan w:val="2"/>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检查因素</w:t>
            </w:r>
          </w:p>
        </w:tc>
        <w:tc>
          <w:tcPr>
            <w:tcW w:w="4948"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p>
        </w:tc>
        <w:tc>
          <w:tcPr>
            <w:tcW w:w="1125" w:type="dxa"/>
            <w:vMerge w:val="restart"/>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投标人应符合的基本资格条件</w:t>
            </w:r>
          </w:p>
        </w:tc>
        <w:tc>
          <w:tcPr>
            <w:tcW w:w="2760"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（1）具有独立承担民事责任的能力</w:t>
            </w:r>
          </w:p>
        </w:tc>
        <w:tc>
          <w:tcPr>
            <w:tcW w:w="4948"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（2）</w:t>
            </w:r>
            <w:r>
              <w:rPr>
                <w:rFonts w:hint="eastAsia" w:hAnsi="宋体" w:cs="宋体"/>
                <w:color w:val="000000" w:themeColor="text1"/>
                <w:sz w:val="21"/>
                <w:szCs w:val="21"/>
                <w:highlight w:val="none"/>
                <w14:textFill>
                  <w14:solidFill>
                    <w14:schemeClr w14:val="tx1"/>
                  </w14:solidFill>
                </w14:textFill>
              </w:rPr>
              <w:t>具有良好的商业信誉和健全的财务会计制度</w:t>
            </w:r>
          </w:p>
        </w:tc>
        <w:tc>
          <w:tcPr>
            <w:tcW w:w="4948" w:type="dxa"/>
            <w:vMerge w:val="restart"/>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（3）具有履行合同所必需的设备和专业技术能力</w:t>
            </w:r>
          </w:p>
        </w:tc>
        <w:tc>
          <w:tcPr>
            <w:tcW w:w="4948" w:type="dxa"/>
            <w:vMerge w:val="continue"/>
            <w:vAlign w:val="center"/>
          </w:tcPr>
          <w:p>
            <w:pPr>
              <w:rPr>
                <w:rFonts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（4）有依法缴纳税收和社会保障金的良好记录</w:t>
            </w:r>
          </w:p>
        </w:tc>
        <w:tc>
          <w:tcPr>
            <w:tcW w:w="4948" w:type="dxa"/>
            <w:vMerge w:val="continue"/>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（5）参加采购活动前三年内，在经营活动中没有重大违法记录（注</w:t>
            </w:r>
            <w:r>
              <w:rPr>
                <w:rFonts w:hint="eastAsia"/>
                <w:color w:val="000000" w:themeColor="text1"/>
                <w:sz w:val="21"/>
                <w:szCs w:val="21"/>
                <w:highlight w:val="none"/>
                <w14:textFill>
                  <w14:solidFill>
                    <w14:schemeClr w14:val="tx1"/>
                  </w14:solidFill>
                </w14:textFill>
              </w:rPr>
              <w:fldChar w:fldCharType="begin"/>
            </w:r>
            <w:r>
              <w:rPr>
                <w:rFonts w:hint="eastAsia"/>
                <w:color w:val="000000" w:themeColor="text1"/>
                <w:sz w:val="21"/>
                <w:szCs w:val="21"/>
                <w:highlight w:val="none"/>
                <w14:textFill>
                  <w14:solidFill>
                    <w14:schemeClr w14:val="tx1"/>
                  </w14:solidFill>
                </w14:textFill>
              </w:rPr>
              <w:instrText xml:space="preserve"> eq \o\ac(○,2)</w:instrText>
            </w:r>
            <w:r>
              <w:rPr>
                <w:rFonts w:hint="eastAsia"/>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w:t>
            </w:r>
          </w:p>
        </w:tc>
        <w:tc>
          <w:tcPr>
            <w:tcW w:w="4948" w:type="dxa"/>
            <w:vMerge w:val="continue"/>
            <w:vAlign w:val="center"/>
          </w:tcPr>
          <w:p>
            <w:pPr>
              <w:rPr>
                <w:rFonts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14:textFill>
                  <w14:solidFill>
                    <w14:schemeClr w14:val="tx1"/>
                  </w14:solidFill>
                </w14:textFill>
              </w:rPr>
            </w:pPr>
          </w:p>
        </w:tc>
        <w:tc>
          <w:tcPr>
            <w:tcW w:w="2760"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（6）法律、行政法规规定的其他条件</w:t>
            </w:r>
          </w:p>
        </w:tc>
        <w:tc>
          <w:tcPr>
            <w:tcW w:w="4948" w:type="dxa"/>
            <w:vAlign w:val="center"/>
          </w:tcPr>
          <w:p>
            <w:pPr>
              <w:rPr>
                <w:rFonts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p>
        </w:tc>
        <w:tc>
          <w:tcPr>
            <w:tcW w:w="3885" w:type="dxa"/>
            <w:gridSpan w:val="2"/>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特定资格条件</w:t>
            </w:r>
          </w:p>
        </w:tc>
        <w:tc>
          <w:tcPr>
            <w:tcW w:w="4948"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按特定资格要求</w:t>
            </w:r>
          </w:p>
        </w:tc>
      </w:tr>
    </w:tbl>
    <w:p>
      <w:pPr>
        <w:spacing w:line="360" w:lineRule="auto"/>
        <w:rPr>
          <w:rFonts w:hAnsi="宋体" w:cs="宋体"/>
          <w:color w:val="000000" w:themeColor="text1"/>
          <w:sz w:val="24"/>
          <w:szCs w:val="24"/>
          <w:highlight w:val="none"/>
          <w14:textFill>
            <w14:solidFill>
              <w14:schemeClr w14:val="tx1"/>
            </w14:solidFill>
          </w14:textFill>
        </w:rPr>
      </w:pPr>
    </w:p>
    <w:p>
      <w:pPr>
        <w:snapToGrid w:val="0"/>
        <w:spacing w:line="400" w:lineRule="exact"/>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注：</w:t>
      </w:r>
      <w:r>
        <w:rPr>
          <w:rFonts w:hint="eastAsia" w:hAnsi="宋体" w:cs="宋体"/>
          <w:color w:val="000000" w:themeColor="text1"/>
          <w:sz w:val="21"/>
          <w:szCs w:val="21"/>
          <w:highlight w:val="none"/>
          <w14:textFill>
            <w14:solidFill>
              <w14:schemeClr w14:val="tx1"/>
            </w14:solidFill>
          </w14:textFill>
        </w:rPr>
        <w:fldChar w:fldCharType="begin"/>
      </w:r>
      <w:r>
        <w:rPr>
          <w:rFonts w:hint="eastAsia" w:hAnsi="宋体" w:cs="宋体"/>
          <w:color w:val="000000" w:themeColor="text1"/>
          <w:sz w:val="21"/>
          <w:szCs w:val="21"/>
          <w:highlight w:val="none"/>
          <w14:textFill>
            <w14:solidFill>
              <w14:schemeClr w14:val="tx1"/>
            </w14:solidFill>
          </w14:textFill>
        </w:rPr>
        <w:instrText xml:space="preserve"> eq \o\ac(○,1)</w:instrText>
      </w:r>
      <w:r>
        <w:rPr>
          <w:rFonts w:hint="eastAsia" w:hAnsi="宋体" w:cs="宋体"/>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fldChar w:fldCharType="begin"/>
      </w:r>
      <w:r>
        <w:rPr>
          <w:rFonts w:hint="eastAsia" w:hAnsi="宋体" w:cs="宋体"/>
          <w:color w:val="000000" w:themeColor="text1"/>
          <w:sz w:val="21"/>
          <w:szCs w:val="21"/>
          <w:highlight w:val="none"/>
          <w14:textFill>
            <w14:solidFill>
              <w14:schemeClr w14:val="tx1"/>
            </w14:solidFill>
          </w14:textFill>
        </w:rPr>
        <w:instrText xml:space="preserve"> eq \o\ac(○,2)</w:instrText>
      </w:r>
      <w:r>
        <w:rPr>
          <w:rFonts w:hint="eastAsia" w:hAnsi="宋体" w:cs="宋体"/>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3"/>
        <w:rPr>
          <w:color w:val="000000" w:themeColor="text1"/>
          <w:highlight w:val="none"/>
          <w14:textFill>
            <w14:solidFill>
              <w14:schemeClr w14:val="tx1"/>
            </w14:solidFill>
          </w14:textFill>
        </w:rPr>
      </w:pPr>
      <w:bookmarkStart w:id="55" w:name="_Toc98942892"/>
      <w:bookmarkStart w:id="56" w:name="_Toc10474389"/>
      <w:r>
        <w:rPr>
          <w:rFonts w:hint="eastAsia"/>
          <w:color w:val="000000" w:themeColor="text1"/>
          <w:highlight w:val="none"/>
          <w14:textFill>
            <w14:solidFill>
              <w14:schemeClr w14:val="tx1"/>
            </w14:solidFill>
          </w14:textFill>
        </w:rPr>
        <w:t>二、评标方法</w:t>
      </w:r>
      <w:bookmarkEnd w:id="55"/>
      <w:bookmarkEnd w:id="56"/>
    </w:p>
    <w:p>
      <w:pPr>
        <w:spacing w:line="360" w:lineRule="auto"/>
        <w:ind w:firstLine="566" w:firstLineChars="236"/>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本项目采用综合评分法进行评标。综合评分法，是指响应文件满足竞争性比选文件全部实质性要求且按照评审因素的量化指标评审得分最高的投标人为中标候选人的评标方法。投标人总得分为价格、技术、商务等评定因素分别按照相应权重值计算分项得分后相加，满分为100分。</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（一）符合性审查</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评标委员会应当对符合资格的投标人的响应文件进行符合性审查，以确定其是否满足竞争性比选文件的实质性要求。符合性审查资料表如下：</w:t>
      </w:r>
    </w:p>
    <w:tbl>
      <w:tblPr>
        <w:tblStyle w:val="16"/>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序号</w:t>
            </w:r>
          </w:p>
        </w:tc>
        <w:tc>
          <w:tcPr>
            <w:tcW w:w="3441" w:type="dxa"/>
            <w:gridSpan w:val="2"/>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评审因素</w:t>
            </w:r>
          </w:p>
        </w:tc>
        <w:tc>
          <w:tcPr>
            <w:tcW w:w="5409"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p>
        </w:tc>
        <w:tc>
          <w:tcPr>
            <w:tcW w:w="1457" w:type="dxa"/>
            <w:vMerge w:val="restart"/>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有效性审查</w:t>
            </w:r>
          </w:p>
        </w:tc>
        <w:tc>
          <w:tcPr>
            <w:tcW w:w="1984"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响应文件签署</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457" w:type="dxa"/>
            <w:vMerge w:val="continue"/>
            <w:vAlign w:val="center"/>
          </w:tcPr>
          <w:p>
            <w:pPr>
              <w:spacing w:line="360" w:lineRule="auto"/>
              <w:rPr>
                <w:rFonts w:hAnsi="宋体" w:cs="宋体"/>
                <w:color w:val="000000" w:themeColor="text1"/>
                <w:sz w:val="21"/>
                <w:szCs w:val="21"/>
                <w:highlight w:val="none"/>
                <w14:textFill>
                  <w14:solidFill>
                    <w14:schemeClr w14:val="tx1"/>
                  </w14:solidFill>
                </w14:textFill>
              </w:rPr>
            </w:pPr>
          </w:p>
        </w:tc>
        <w:tc>
          <w:tcPr>
            <w:tcW w:w="1984" w:type="dxa"/>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投标方案</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457" w:type="dxa"/>
            <w:vMerge w:val="continue"/>
            <w:vAlign w:val="center"/>
          </w:tcPr>
          <w:p>
            <w:pPr>
              <w:spacing w:line="360" w:lineRule="auto"/>
              <w:rPr>
                <w:rFonts w:hAnsi="宋体" w:cs="宋体"/>
                <w:color w:val="000000" w:themeColor="text1"/>
                <w:sz w:val="21"/>
                <w:szCs w:val="21"/>
                <w:highlight w:val="none"/>
                <w14:textFill>
                  <w14:solidFill>
                    <w14:schemeClr w14:val="tx1"/>
                  </w14:solidFill>
                </w14:textFill>
              </w:rPr>
            </w:pPr>
          </w:p>
        </w:tc>
        <w:tc>
          <w:tcPr>
            <w:tcW w:w="1984" w:type="dxa"/>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报价唯一</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只能在预算金额和最高限价内报价，</w:t>
            </w:r>
            <w:r>
              <w:rPr>
                <w:rFonts w:hint="eastAsia" w:hAnsi="宋体" w:cs="宋体"/>
                <w:color w:val="000000" w:themeColor="text1"/>
                <w:sz w:val="21"/>
                <w:szCs w:val="21"/>
                <w:highlight w:val="none"/>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p>
        </w:tc>
        <w:tc>
          <w:tcPr>
            <w:tcW w:w="1457"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完整性审查</w:t>
            </w:r>
          </w:p>
        </w:tc>
        <w:tc>
          <w:tcPr>
            <w:tcW w:w="1984"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响应文件份数</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w:t>
            </w:r>
          </w:p>
        </w:tc>
        <w:tc>
          <w:tcPr>
            <w:tcW w:w="1457"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投标有效期</w:t>
            </w:r>
          </w:p>
        </w:tc>
        <w:tc>
          <w:tcPr>
            <w:tcW w:w="1984"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响应文件内容</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w:t>
            </w:r>
          </w:p>
        </w:tc>
        <w:tc>
          <w:tcPr>
            <w:tcW w:w="1457"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技术部分</w:t>
            </w:r>
          </w:p>
        </w:tc>
        <w:tc>
          <w:tcPr>
            <w:tcW w:w="1984"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响应文件内容</w:t>
            </w:r>
          </w:p>
        </w:tc>
        <w:tc>
          <w:tcPr>
            <w:tcW w:w="5409"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本竞争性比选文件第二篇中响应全部内容无负偏离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w:t>
            </w:r>
          </w:p>
        </w:tc>
        <w:tc>
          <w:tcPr>
            <w:tcW w:w="1457"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商务部分</w:t>
            </w:r>
          </w:p>
        </w:tc>
        <w:tc>
          <w:tcPr>
            <w:tcW w:w="1984"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响应文件内容</w:t>
            </w:r>
          </w:p>
        </w:tc>
        <w:tc>
          <w:tcPr>
            <w:tcW w:w="5409"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本竞争性比选文件第三篇中响应全部内容无负偏离</w:t>
            </w:r>
          </w:p>
        </w:tc>
      </w:tr>
    </w:tbl>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澄清有关问题。对响应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响应文件的范围或者改变响应文件的实质性内容。</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（三）比较与评价。按竞争性比选文件中规定的评标方法和标准，对资格审查和符合性审查合格的响应文件进行商务和技术评估。</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各成员独立对每个有效投标人（通过资格审查、符合性审查的投标人）的响应文件进行评价、打分，然后由评标委员会对各成员打分情况进行核查及复核，个别成员对同一投标人同一评分项的打分偏离较大的，应对投标人的响应文件进行再次核对，确属打分有误的，应及时进行修正。</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复核后，评标委员会汇总每个投标人每项评分因素的得分。</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（四）推荐中标候选人名单。</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按评审后得分由高到低的排列顺序推荐综合得分排名前三的投标人为本分包（项目）中标候选人，排名第一的为第一中标候选人；得分相同的，按投标报价由低到高顺序排列；得分且投标报价相同的并列，技术部分得分为0分的投标人，将失去成为中标候选人的资格。</w:t>
      </w:r>
    </w:p>
    <w:p>
      <w:pPr>
        <w:pStyle w:val="3"/>
        <w:rPr>
          <w:color w:val="000000" w:themeColor="text1"/>
          <w:highlight w:val="none"/>
          <w14:textFill>
            <w14:solidFill>
              <w14:schemeClr w14:val="tx1"/>
            </w14:solidFill>
          </w14:textFill>
        </w:rPr>
      </w:pPr>
      <w:bookmarkStart w:id="57" w:name="_Toc98942893"/>
      <w:r>
        <w:rPr>
          <w:rFonts w:hint="eastAsia"/>
          <w:color w:val="000000" w:themeColor="text1"/>
          <w:highlight w:val="none"/>
          <w14:textFill>
            <w14:solidFill>
              <w14:schemeClr w14:val="tx1"/>
            </w14:solidFill>
          </w14:textFill>
        </w:rPr>
        <w:t>三、评分标准</w:t>
      </w:r>
      <w:bookmarkEnd w:id="57"/>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846"/>
        <w:gridCol w:w="846"/>
        <w:gridCol w:w="625"/>
        <w:gridCol w:w="5272"/>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jc w:val="center"/>
              <w:rPr>
                <w:rFonts w:eastAsia="方正仿宋_GBK"/>
                <w:color w:val="000000" w:themeColor="text1"/>
                <w:sz w:val="21"/>
                <w:szCs w:val="21"/>
                <w:highlight w:val="none"/>
                <w14:textFill>
                  <w14:solidFill>
                    <w14:schemeClr w14:val="tx1"/>
                  </w14:solidFill>
                </w14:textFill>
              </w:rPr>
            </w:pPr>
            <w:bookmarkStart w:id="58" w:name="_Toc98942894"/>
            <w:bookmarkStart w:id="59" w:name="_Toc21425658"/>
            <w:r>
              <w:rPr>
                <w:rFonts w:eastAsia="方正仿宋_GBK"/>
                <w:color w:val="000000" w:themeColor="text1"/>
                <w:sz w:val="21"/>
                <w:szCs w:val="21"/>
                <w:highlight w:val="none"/>
                <w14:textFill>
                  <w14:solidFill>
                    <w14:schemeClr w14:val="tx1"/>
                  </w14:solidFill>
                </w14:textFill>
              </w:rPr>
              <w:t>序号</w:t>
            </w:r>
          </w:p>
        </w:tc>
        <w:tc>
          <w:tcPr>
            <w:tcW w:w="8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jc w:val="center"/>
              <w:rPr>
                <w:rFonts w:eastAsia="方正仿宋_GBK"/>
                <w:color w:val="000000" w:themeColor="text1"/>
                <w:sz w:val="21"/>
                <w:szCs w:val="21"/>
                <w:highlight w:val="none"/>
                <w14:textFill>
                  <w14:solidFill>
                    <w14:schemeClr w14:val="tx1"/>
                  </w14:solidFill>
                </w14:textFill>
              </w:rPr>
            </w:pPr>
            <w:r>
              <w:rPr>
                <w:rFonts w:eastAsia="方正仿宋_GBK"/>
                <w:color w:val="000000" w:themeColor="text1"/>
                <w:sz w:val="21"/>
                <w:szCs w:val="21"/>
                <w:highlight w:val="none"/>
                <w14:textFill>
                  <w14:solidFill>
                    <w14:schemeClr w14:val="tx1"/>
                  </w14:solidFill>
                </w14:textFill>
              </w:rPr>
              <w:t>评分因素及权值</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jc w:val="center"/>
              <w:rPr>
                <w:rFonts w:eastAsia="方正仿宋_GBK"/>
                <w:color w:val="000000" w:themeColor="text1"/>
                <w:sz w:val="21"/>
                <w:szCs w:val="21"/>
                <w:highlight w:val="none"/>
                <w14:textFill>
                  <w14:solidFill>
                    <w14:schemeClr w14:val="tx1"/>
                  </w14:solidFill>
                </w14:textFill>
              </w:rPr>
            </w:pPr>
            <w:r>
              <w:rPr>
                <w:rFonts w:eastAsia="方正仿宋_GBK"/>
                <w:color w:val="000000" w:themeColor="text1"/>
                <w:sz w:val="21"/>
                <w:szCs w:val="21"/>
                <w:highlight w:val="none"/>
                <w14:textFill>
                  <w14:solidFill>
                    <w14:schemeClr w14:val="tx1"/>
                  </w14:solidFill>
                </w14:textFill>
              </w:rPr>
              <w:t>分值</w:t>
            </w:r>
          </w:p>
        </w:tc>
        <w:tc>
          <w:tcPr>
            <w:tcW w:w="27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jc w:val="center"/>
              <w:rPr>
                <w:rFonts w:eastAsia="方正仿宋_GBK"/>
                <w:color w:val="000000" w:themeColor="text1"/>
                <w:sz w:val="21"/>
                <w:szCs w:val="21"/>
                <w:highlight w:val="none"/>
                <w14:textFill>
                  <w14:solidFill>
                    <w14:schemeClr w14:val="tx1"/>
                  </w14:solidFill>
                </w14:textFill>
              </w:rPr>
            </w:pPr>
            <w:r>
              <w:rPr>
                <w:rFonts w:eastAsia="方正仿宋_GBK"/>
                <w:color w:val="000000" w:themeColor="text1"/>
                <w:sz w:val="21"/>
                <w:szCs w:val="21"/>
                <w:highlight w:val="none"/>
                <w14:textFill>
                  <w14:solidFill>
                    <w14:schemeClr w14:val="tx1"/>
                  </w14:solidFill>
                </w14:textFill>
              </w:rPr>
              <w:t>评分标准</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jc w:val="center"/>
              <w:rPr>
                <w:rFonts w:eastAsia="方正仿宋_GBK"/>
                <w:color w:val="000000" w:themeColor="text1"/>
                <w:sz w:val="21"/>
                <w:szCs w:val="21"/>
                <w:highlight w:val="none"/>
                <w14:textFill>
                  <w14:solidFill>
                    <w14:schemeClr w14:val="tx1"/>
                  </w14:solidFill>
                </w14:textFill>
              </w:rPr>
            </w:pPr>
            <w:r>
              <w:rPr>
                <w:rFonts w:eastAsia="方正仿宋_GBK"/>
                <w:color w:val="000000" w:themeColor="text1"/>
                <w:sz w:val="21"/>
                <w:szCs w:val="21"/>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eastAsia="方正仿宋_GBK"/>
                <w:color w:val="000000" w:themeColor="text1"/>
                <w:sz w:val="21"/>
                <w:szCs w:val="21"/>
                <w:highlight w:val="none"/>
                <w14:textFill>
                  <w14:solidFill>
                    <w14:schemeClr w14:val="tx1"/>
                  </w14:solidFill>
                </w14:textFill>
              </w:rPr>
              <w:t>1</w:t>
            </w:r>
          </w:p>
        </w:tc>
        <w:tc>
          <w:tcPr>
            <w:tcW w:w="8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eastAsia="方正仿宋_GBK"/>
                <w:color w:val="000000" w:themeColor="text1"/>
                <w:sz w:val="21"/>
                <w:szCs w:val="21"/>
                <w:highlight w:val="none"/>
                <w14:textFill>
                  <w14:solidFill>
                    <w14:schemeClr w14:val="tx1"/>
                  </w14:solidFill>
                </w14:textFill>
              </w:rPr>
              <w:t>报价（</w:t>
            </w:r>
            <w:r>
              <w:rPr>
                <w:rFonts w:hint="eastAsia" w:eastAsia="方正仿宋_GBK"/>
                <w:color w:val="000000" w:themeColor="text1"/>
                <w:sz w:val="21"/>
                <w:szCs w:val="21"/>
                <w:highlight w:val="none"/>
                <w:lang w:val="en-US" w:eastAsia="zh-CN"/>
                <w14:textFill>
                  <w14:solidFill>
                    <w14:schemeClr w14:val="tx1"/>
                  </w14:solidFill>
                </w14:textFill>
              </w:rPr>
              <w:t>7</w:t>
            </w:r>
            <w:r>
              <w:rPr>
                <w:rFonts w:hint="eastAsia" w:eastAsia="方正仿宋_GBK"/>
                <w:color w:val="000000" w:themeColor="text1"/>
                <w:sz w:val="21"/>
                <w:szCs w:val="21"/>
                <w:highlight w:val="none"/>
                <w14:textFill>
                  <w14:solidFill>
                    <w14:schemeClr w14:val="tx1"/>
                  </w14:solidFill>
                </w14:textFill>
              </w:rPr>
              <w:t>0</w:t>
            </w:r>
            <w:r>
              <w:rPr>
                <w:rFonts w:eastAsia="方正仿宋_GBK"/>
                <w:color w:val="000000" w:themeColor="text1"/>
                <w:sz w:val="21"/>
                <w:szCs w:val="21"/>
                <w:highlight w:val="none"/>
                <w14:textFill>
                  <w14:solidFill>
                    <w14:schemeClr w14:val="tx1"/>
                  </w14:solidFill>
                </w14:textFill>
              </w:rPr>
              <w:t>%）</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hint="eastAsia" w:eastAsia="方正仿宋_GBK"/>
                <w:color w:val="000000" w:themeColor="text1"/>
                <w:sz w:val="21"/>
                <w:szCs w:val="21"/>
                <w:highlight w:val="none"/>
                <w:lang w:val="en-US" w:eastAsia="zh-CN"/>
                <w14:textFill>
                  <w14:solidFill>
                    <w14:schemeClr w14:val="tx1"/>
                  </w14:solidFill>
                </w14:textFill>
              </w:rPr>
              <w:t>7</w:t>
            </w:r>
            <w:r>
              <w:rPr>
                <w:rFonts w:hint="eastAsia" w:eastAsia="方正仿宋_GBK"/>
                <w:color w:val="000000" w:themeColor="text1"/>
                <w:sz w:val="21"/>
                <w:szCs w:val="21"/>
                <w:highlight w:val="none"/>
                <w14:textFill>
                  <w14:solidFill>
                    <w14:schemeClr w14:val="tx1"/>
                  </w14:solidFill>
                </w14:textFill>
              </w:rPr>
              <w:t>0</w:t>
            </w:r>
          </w:p>
        </w:tc>
        <w:tc>
          <w:tcPr>
            <w:tcW w:w="27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eastAsia="方正仿宋_GBK"/>
                <w:color w:val="000000" w:themeColor="text1"/>
                <w:sz w:val="21"/>
                <w:szCs w:val="21"/>
                <w:highlight w:val="none"/>
                <w14:textFill>
                  <w14:solidFill>
                    <w14:schemeClr w14:val="tx1"/>
                  </w14:solidFill>
                </w14:textFill>
              </w:rPr>
              <w:t>满足资格要求且报价最低的供应商的价格为</w:t>
            </w:r>
            <w:r>
              <w:rPr>
                <w:rFonts w:hint="eastAsia" w:eastAsia="方正仿宋_GBK"/>
                <w:color w:val="000000" w:themeColor="text1"/>
                <w:sz w:val="21"/>
                <w:szCs w:val="21"/>
                <w:highlight w:val="none"/>
                <w14:textFill>
                  <w14:solidFill>
                    <w14:schemeClr w14:val="tx1"/>
                  </w14:solidFill>
                </w14:textFill>
              </w:rPr>
              <w:t>基</w:t>
            </w:r>
            <w:r>
              <w:rPr>
                <w:rFonts w:eastAsia="方正仿宋_GBK"/>
                <w:color w:val="000000" w:themeColor="text1"/>
                <w:sz w:val="21"/>
                <w:szCs w:val="21"/>
                <w:highlight w:val="none"/>
                <w14:textFill>
                  <w14:solidFill>
                    <w14:schemeClr w14:val="tx1"/>
                  </w14:solidFill>
                </w14:textFill>
              </w:rPr>
              <w:t>准价，按照下列公式计算每个供应商的报价得分。</w:t>
            </w:r>
          </w:p>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eastAsia="方正仿宋_GBK"/>
                <w:color w:val="000000" w:themeColor="text1"/>
                <w:sz w:val="21"/>
                <w:szCs w:val="21"/>
                <w:highlight w:val="none"/>
                <w14:textFill>
                  <w14:solidFill>
                    <w14:schemeClr w14:val="tx1"/>
                  </w14:solidFill>
                </w14:textFill>
              </w:rPr>
              <w:t>报价得分=（基准价/报价）×价格权值×100</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74" w:type="pct"/>
            <w:tcBorders>
              <w:left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hint="eastAsia" w:eastAsia="方正仿宋_GBK"/>
                <w:color w:val="000000" w:themeColor="text1"/>
                <w:sz w:val="21"/>
                <w:szCs w:val="21"/>
                <w:highlight w:val="none"/>
                <w14:textFill>
                  <w14:solidFill>
                    <w14:schemeClr w14:val="tx1"/>
                  </w14:solidFill>
                </w14:textFill>
              </w:rPr>
              <w:t>2</w:t>
            </w:r>
          </w:p>
        </w:tc>
        <w:tc>
          <w:tcPr>
            <w:tcW w:w="431" w:type="pct"/>
            <w:tcBorders>
              <w:left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hint="eastAsia" w:eastAsia="方正仿宋_GBK"/>
                <w:color w:val="000000" w:themeColor="text1"/>
                <w:sz w:val="21"/>
                <w:szCs w:val="21"/>
                <w:highlight w:val="none"/>
                <w14:textFill>
                  <w14:solidFill>
                    <w14:schemeClr w14:val="tx1"/>
                  </w14:solidFill>
                </w14:textFill>
              </w:rPr>
              <w:t>技术部分</w:t>
            </w:r>
          </w:p>
        </w:tc>
        <w:tc>
          <w:tcPr>
            <w:tcW w:w="395" w:type="pct"/>
            <w:tcBorders>
              <w:top w:val="single" w:color="auto" w:sz="4" w:space="0"/>
              <w:left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eastAsia="方正仿宋_GBK"/>
                <w:color w:val="000000" w:themeColor="text1"/>
                <w:sz w:val="21"/>
                <w:szCs w:val="21"/>
                <w:highlight w:val="none"/>
                <w14:textFill>
                  <w14:solidFill>
                    <w14:schemeClr w14:val="tx1"/>
                  </w14:solidFill>
                </w14:textFill>
              </w:rPr>
              <w:t>服务方案（</w:t>
            </w:r>
            <w:r>
              <w:rPr>
                <w:rFonts w:hint="eastAsia" w:eastAsia="方正仿宋_GBK"/>
                <w:color w:val="000000" w:themeColor="text1"/>
                <w:sz w:val="21"/>
                <w:szCs w:val="21"/>
                <w:highlight w:val="none"/>
                <w:lang w:val="en-US" w:eastAsia="zh-CN"/>
                <w14:textFill>
                  <w14:solidFill>
                    <w14:schemeClr w14:val="tx1"/>
                  </w14:solidFill>
                </w14:textFill>
              </w:rPr>
              <w:t>10</w:t>
            </w:r>
            <w:r>
              <w:rPr>
                <w:rFonts w:eastAsia="方正仿宋_GBK"/>
                <w:color w:val="000000" w:themeColor="text1"/>
                <w:sz w:val="21"/>
                <w:szCs w:val="21"/>
                <w:highlight w:val="none"/>
                <w14:textFill>
                  <w14:solidFill>
                    <w14:schemeClr w14:val="tx1"/>
                  </w14:solidFill>
                </w14:textFill>
              </w:rPr>
              <w:t>%）</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hint="default" w:eastAsia="方正仿宋_GBK"/>
                <w:color w:val="000000" w:themeColor="text1"/>
                <w:sz w:val="21"/>
                <w:szCs w:val="21"/>
                <w:highlight w:val="none"/>
                <w:lang w:val="en-US" w:eastAsia="zh-CN"/>
                <w14:textFill>
                  <w14:solidFill>
                    <w14:schemeClr w14:val="tx1"/>
                  </w14:solidFill>
                </w14:textFill>
              </w:rPr>
            </w:pPr>
            <w:r>
              <w:rPr>
                <w:rFonts w:hint="eastAsia" w:eastAsia="方正仿宋_GBK"/>
                <w:color w:val="000000" w:themeColor="text1"/>
                <w:sz w:val="21"/>
                <w:szCs w:val="21"/>
                <w:highlight w:val="none"/>
                <w:lang w:val="en-US" w:eastAsia="zh-CN"/>
                <w14:textFill>
                  <w14:solidFill>
                    <w14:schemeClr w14:val="tx1"/>
                  </w14:solidFill>
                </w14:textFill>
              </w:rPr>
              <w:t>10</w:t>
            </w:r>
          </w:p>
        </w:tc>
        <w:tc>
          <w:tcPr>
            <w:tcW w:w="2724" w:type="pct"/>
            <w:tcBorders>
              <w:top w:val="single" w:color="auto" w:sz="4" w:space="0"/>
              <w:left w:val="single" w:color="auto" w:sz="4" w:space="0"/>
              <w:right w:val="single" w:color="auto" w:sz="4" w:space="0"/>
            </w:tcBorders>
            <w:shd w:val="clear" w:color="auto" w:fill="auto"/>
            <w:vAlign w:val="center"/>
          </w:tcPr>
          <w:p>
            <w:pPr>
              <w:pStyle w:val="13"/>
              <w:widowControl/>
              <w:topLinePunct/>
              <w:adjustRightInd w:val="0"/>
              <w:snapToGrid w:val="0"/>
              <w:spacing w:line="300" w:lineRule="exact"/>
              <w:jc w:val="both"/>
              <w:rPr>
                <w:rFonts w:eastAsia="方正仿宋_GBK"/>
                <w:b w:val="0"/>
                <w:bCs w:val="0"/>
                <w:color w:val="000000" w:themeColor="text1"/>
                <w:sz w:val="21"/>
                <w:szCs w:val="21"/>
                <w:highlight w:val="none"/>
                <w14:textFill>
                  <w14:solidFill>
                    <w14:schemeClr w14:val="tx1"/>
                  </w14:solidFill>
                </w14:textFill>
              </w:rPr>
            </w:pPr>
            <w:r>
              <w:rPr>
                <w:rFonts w:hint="eastAsia" w:eastAsia="方正仿宋_GBK"/>
                <w:b w:val="0"/>
                <w:bCs w:val="0"/>
                <w:color w:val="000000" w:themeColor="text1"/>
                <w:sz w:val="21"/>
                <w:szCs w:val="21"/>
                <w:highlight w:val="none"/>
                <w14:textFill>
                  <w14:solidFill>
                    <w14:schemeClr w14:val="tx1"/>
                  </w14:solidFill>
                </w14:textFill>
              </w:rPr>
              <w:t>1、项目的整体服务方案，评委根据供应商提供的项目服务方案的完整性、合理性、科学性：包括对项目需求的理解，整体服务方案的实施等做出综合性评价。</w:t>
            </w:r>
            <w:r>
              <w:rPr>
                <w:rFonts w:hint="eastAsia" w:eastAsia="方正仿宋_GBK"/>
                <w:b w:val="0"/>
                <w:bCs w:val="0"/>
                <w:color w:val="000000" w:themeColor="text1"/>
                <w:sz w:val="21"/>
                <w:szCs w:val="21"/>
                <w:highlight w:val="none"/>
                <w:lang w:val="en-US" w:eastAsia="zh-CN"/>
                <w14:textFill>
                  <w14:solidFill>
                    <w14:schemeClr w14:val="tx1"/>
                  </w14:solidFill>
                </w14:textFill>
              </w:rPr>
              <w:t>优秀得2</w:t>
            </w:r>
            <w:r>
              <w:rPr>
                <w:rFonts w:hint="eastAsia" w:eastAsia="方正仿宋_GBK"/>
                <w:b w:val="0"/>
                <w:bCs w:val="0"/>
                <w:color w:val="000000" w:themeColor="text1"/>
                <w:sz w:val="21"/>
                <w:szCs w:val="21"/>
                <w:highlight w:val="none"/>
                <w14:textFill>
                  <w14:solidFill>
                    <w14:schemeClr w14:val="tx1"/>
                  </w14:solidFill>
                </w14:textFill>
              </w:rPr>
              <w:t>分，一般</w:t>
            </w:r>
            <w:r>
              <w:rPr>
                <w:rFonts w:hint="eastAsia" w:eastAsia="方正仿宋_GBK"/>
                <w:b w:val="0"/>
                <w:bCs w:val="0"/>
                <w:color w:val="000000" w:themeColor="text1"/>
                <w:sz w:val="21"/>
                <w:szCs w:val="21"/>
                <w:highlight w:val="none"/>
                <w:lang w:val="en-US" w:eastAsia="zh-CN"/>
                <w14:textFill>
                  <w14:solidFill>
                    <w14:schemeClr w14:val="tx1"/>
                  </w14:solidFill>
                </w14:textFill>
              </w:rPr>
              <w:t>得1分</w:t>
            </w:r>
            <w:r>
              <w:rPr>
                <w:rFonts w:hint="eastAsia" w:eastAsia="方正仿宋_GBK"/>
                <w:b w:val="0"/>
                <w:bCs w:val="0"/>
                <w:color w:val="000000" w:themeColor="text1"/>
                <w:sz w:val="21"/>
                <w:szCs w:val="21"/>
                <w:highlight w:val="none"/>
                <w14:textFill>
                  <w14:solidFill>
                    <w14:schemeClr w14:val="tx1"/>
                  </w14:solidFill>
                </w14:textFill>
              </w:rPr>
              <w:t>。</w:t>
            </w:r>
          </w:p>
          <w:p>
            <w:pPr>
              <w:pStyle w:val="13"/>
              <w:widowControl/>
              <w:topLinePunct/>
              <w:adjustRightInd w:val="0"/>
              <w:snapToGrid w:val="0"/>
              <w:spacing w:line="300" w:lineRule="exact"/>
              <w:jc w:val="both"/>
              <w:rPr>
                <w:rFonts w:eastAsia="方正仿宋_GBK"/>
                <w:b w:val="0"/>
                <w:bCs w:val="0"/>
                <w:color w:val="000000" w:themeColor="text1"/>
                <w:sz w:val="21"/>
                <w:szCs w:val="21"/>
                <w:highlight w:val="none"/>
                <w14:textFill>
                  <w14:solidFill>
                    <w14:schemeClr w14:val="tx1"/>
                  </w14:solidFill>
                </w14:textFill>
              </w:rPr>
            </w:pPr>
            <w:r>
              <w:rPr>
                <w:rFonts w:hint="eastAsia" w:eastAsia="方正仿宋_GBK"/>
                <w:b w:val="0"/>
                <w:bCs w:val="0"/>
                <w:color w:val="000000" w:themeColor="text1"/>
                <w:sz w:val="21"/>
                <w:szCs w:val="21"/>
                <w:highlight w:val="none"/>
                <w14:textFill>
                  <w14:solidFill>
                    <w14:schemeClr w14:val="tx1"/>
                  </w14:solidFill>
                </w14:textFill>
              </w:rPr>
              <w:t>2、项目的组织架构及人员配备方案，包括但不限于部门岗位岗位职责、人员岗位职责等，</w:t>
            </w:r>
            <w:r>
              <w:rPr>
                <w:rFonts w:hint="eastAsia" w:eastAsia="方正仿宋_GBK"/>
                <w:b w:val="0"/>
                <w:bCs w:val="0"/>
                <w:color w:val="000000" w:themeColor="text1"/>
                <w:sz w:val="21"/>
                <w:szCs w:val="21"/>
                <w:highlight w:val="none"/>
                <w:lang w:val="en-US" w:eastAsia="zh-CN"/>
                <w14:textFill>
                  <w14:solidFill>
                    <w14:schemeClr w14:val="tx1"/>
                  </w14:solidFill>
                </w14:textFill>
              </w:rPr>
              <w:t>优秀得2</w:t>
            </w:r>
            <w:r>
              <w:rPr>
                <w:rFonts w:hint="eastAsia" w:eastAsia="方正仿宋_GBK"/>
                <w:b w:val="0"/>
                <w:bCs w:val="0"/>
                <w:color w:val="000000" w:themeColor="text1"/>
                <w:sz w:val="21"/>
                <w:szCs w:val="21"/>
                <w:highlight w:val="none"/>
                <w14:textFill>
                  <w14:solidFill>
                    <w14:schemeClr w14:val="tx1"/>
                  </w14:solidFill>
                </w14:textFill>
              </w:rPr>
              <w:t>分，一般</w:t>
            </w:r>
            <w:r>
              <w:rPr>
                <w:rFonts w:hint="eastAsia" w:eastAsia="方正仿宋_GBK"/>
                <w:b w:val="0"/>
                <w:bCs w:val="0"/>
                <w:color w:val="000000" w:themeColor="text1"/>
                <w:sz w:val="21"/>
                <w:szCs w:val="21"/>
                <w:highlight w:val="none"/>
                <w:lang w:val="en-US" w:eastAsia="zh-CN"/>
                <w14:textFill>
                  <w14:solidFill>
                    <w14:schemeClr w14:val="tx1"/>
                  </w14:solidFill>
                </w14:textFill>
              </w:rPr>
              <w:t>得1分</w:t>
            </w:r>
            <w:r>
              <w:rPr>
                <w:rFonts w:hint="eastAsia" w:eastAsia="方正仿宋_GBK"/>
                <w:b w:val="0"/>
                <w:bCs w:val="0"/>
                <w:color w:val="000000" w:themeColor="text1"/>
                <w:sz w:val="21"/>
                <w:szCs w:val="21"/>
                <w:highlight w:val="none"/>
                <w14:textFill>
                  <w14:solidFill>
                    <w14:schemeClr w14:val="tx1"/>
                  </w14:solidFill>
                </w14:textFill>
              </w:rPr>
              <w:t>。</w:t>
            </w:r>
          </w:p>
          <w:p>
            <w:pPr>
              <w:pStyle w:val="13"/>
              <w:widowControl/>
              <w:topLinePunct/>
              <w:adjustRightInd w:val="0"/>
              <w:snapToGrid w:val="0"/>
              <w:spacing w:line="300" w:lineRule="exact"/>
              <w:jc w:val="both"/>
              <w:rPr>
                <w:rFonts w:eastAsia="方正仿宋_GBK"/>
                <w:b w:val="0"/>
                <w:bCs w:val="0"/>
                <w:color w:val="000000" w:themeColor="text1"/>
                <w:sz w:val="21"/>
                <w:szCs w:val="21"/>
                <w:highlight w:val="none"/>
                <w14:textFill>
                  <w14:solidFill>
                    <w14:schemeClr w14:val="tx1"/>
                  </w14:solidFill>
                </w14:textFill>
              </w:rPr>
            </w:pPr>
            <w:r>
              <w:rPr>
                <w:rFonts w:hint="eastAsia" w:eastAsia="方正仿宋_GBK"/>
                <w:b w:val="0"/>
                <w:bCs w:val="0"/>
                <w:color w:val="000000" w:themeColor="text1"/>
                <w:sz w:val="21"/>
                <w:szCs w:val="21"/>
                <w:highlight w:val="none"/>
                <w:lang w:val="en-US" w:eastAsia="zh-CN"/>
                <w14:textFill>
                  <w14:solidFill>
                    <w14:schemeClr w14:val="tx1"/>
                  </w14:solidFill>
                </w14:textFill>
              </w:rPr>
              <w:t>3</w:t>
            </w:r>
            <w:r>
              <w:rPr>
                <w:rFonts w:hint="eastAsia" w:eastAsia="方正仿宋_GBK"/>
                <w:b w:val="0"/>
                <w:bCs w:val="0"/>
                <w:color w:val="000000" w:themeColor="text1"/>
                <w:sz w:val="21"/>
                <w:szCs w:val="21"/>
                <w:highlight w:val="none"/>
                <w14:textFill>
                  <w14:solidFill>
                    <w14:schemeClr w14:val="tx1"/>
                  </w14:solidFill>
                </w14:textFill>
              </w:rPr>
              <w:t>、项目的各项管理制度，评委根据供应商针对项目提供的人员管理制度、配电室相关管理制度、运维安全管理制度的完整性、合理性、科学性等做出综合性评价。</w:t>
            </w:r>
            <w:r>
              <w:rPr>
                <w:rFonts w:hint="eastAsia" w:eastAsia="方正仿宋_GBK"/>
                <w:b w:val="0"/>
                <w:bCs w:val="0"/>
                <w:color w:val="000000" w:themeColor="text1"/>
                <w:sz w:val="21"/>
                <w:szCs w:val="21"/>
                <w:highlight w:val="none"/>
                <w:lang w:val="en-US" w:eastAsia="zh-CN"/>
                <w14:textFill>
                  <w14:solidFill>
                    <w14:schemeClr w14:val="tx1"/>
                  </w14:solidFill>
                </w14:textFill>
              </w:rPr>
              <w:t>优秀得2</w:t>
            </w:r>
            <w:r>
              <w:rPr>
                <w:rFonts w:hint="eastAsia" w:eastAsia="方正仿宋_GBK"/>
                <w:b w:val="0"/>
                <w:bCs w:val="0"/>
                <w:color w:val="000000" w:themeColor="text1"/>
                <w:sz w:val="21"/>
                <w:szCs w:val="21"/>
                <w:highlight w:val="none"/>
                <w14:textFill>
                  <w14:solidFill>
                    <w14:schemeClr w14:val="tx1"/>
                  </w14:solidFill>
                </w14:textFill>
              </w:rPr>
              <w:t>分，一般</w:t>
            </w:r>
            <w:r>
              <w:rPr>
                <w:rFonts w:hint="eastAsia" w:eastAsia="方正仿宋_GBK"/>
                <w:b w:val="0"/>
                <w:bCs w:val="0"/>
                <w:color w:val="000000" w:themeColor="text1"/>
                <w:sz w:val="21"/>
                <w:szCs w:val="21"/>
                <w:highlight w:val="none"/>
                <w:lang w:val="en-US" w:eastAsia="zh-CN"/>
                <w14:textFill>
                  <w14:solidFill>
                    <w14:schemeClr w14:val="tx1"/>
                  </w14:solidFill>
                </w14:textFill>
              </w:rPr>
              <w:t>得1分</w:t>
            </w:r>
            <w:r>
              <w:rPr>
                <w:rFonts w:hint="eastAsia" w:eastAsia="方正仿宋_GBK"/>
                <w:b w:val="0"/>
                <w:bCs w:val="0"/>
                <w:color w:val="000000" w:themeColor="text1"/>
                <w:sz w:val="21"/>
                <w:szCs w:val="21"/>
                <w:highlight w:val="none"/>
                <w14:textFill>
                  <w14:solidFill>
                    <w14:schemeClr w14:val="tx1"/>
                  </w14:solidFill>
                </w14:textFill>
              </w:rPr>
              <w:t>。</w:t>
            </w:r>
          </w:p>
          <w:p>
            <w:pPr>
              <w:pStyle w:val="13"/>
              <w:widowControl/>
              <w:topLinePunct/>
              <w:adjustRightInd w:val="0"/>
              <w:snapToGrid w:val="0"/>
              <w:spacing w:line="300" w:lineRule="exact"/>
              <w:jc w:val="both"/>
              <w:rPr>
                <w:rFonts w:eastAsia="方正仿宋_GBK"/>
                <w:b w:val="0"/>
                <w:bCs w:val="0"/>
                <w:color w:val="000000" w:themeColor="text1"/>
                <w:sz w:val="21"/>
                <w:szCs w:val="21"/>
                <w:highlight w:val="none"/>
                <w14:textFill>
                  <w14:solidFill>
                    <w14:schemeClr w14:val="tx1"/>
                  </w14:solidFill>
                </w14:textFill>
              </w:rPr>
            </w:pPr>
            <w:r>
              <w:rPr>
                <w:rFonts w:hint="eastAsia" w:eastAsia="方正仿宋_GBK"/>
                <w:b w:val="0"/>
                <w:bCs w:val="0"/>
                <w:color w:val="000000" w:themeColor="text1"/>
                <w:sz w:val="21"/>
                <w:szCs w:val="21"/>
                <w:highlight w:val="none"/>
                <w:lang w:val="en-US" w:eastAsia="zh-CN"/>
                <w14:textFill>
                  <w14:solidFill>
                    <w14:schemeClr w14:val="tx1"/>
                  </w14:solidFill>
                </w14:textFill>
              </w:rPr>
              <w:t>4</w:t>
            </w:r>
            <w:r>
              <w:rPr>
                <w:rFonts w:hint="eastAsia" w:eastAsia="方正仿宋_GBK"/>
                <w:b w:val="0"/>
                <w:bCs w:val="0"/>
                <w:color w:val="000000" w:themeColor="text1"/>
                <w:sz w:val="21"/>
                <w:szCs w:val="21"/>
                <w:highlight w:val="none"/>
                <w14:textFill>
                  <w14:solidFill>
                    <w14:schemeClr w14:val="tx1"/>
                  </w14:solidFill>
                </w14:textFill>
              </w:rPr>
              <w:t>、项目的安全管理方案，评委根据供应商针对项目提供安全危险源分析及应对措施、劳动力安全保护措施的完整性、合理性、科学性等做出综合性评价。</w:t>
            </w:r>
            <w:r>
              <w:rPr>
                <w:rFonts w:hint="eastAsia" w:eastAsia="方正仿宋_GBK"/>
                <w:b w:val="0"/>
                <w:bCs w:val="0"/>
                <w:color w:val="000000" w:themeColor="text1"/>
                <w:sz w:val="21"/>
                <w:szCs w:val="21"/>
                <w:highlight w:val="none"/>
                <w:lang w:val="en-US" w:eastAsia="zh-CN"/>
                <w14:textFill>
                  <w14:solidFill>
                    <w14:schemeClr w14:val="tx1"/>
                  </w14:solidFill>
                </w14:textFill>
              </w:rPr>
              <w:t>优秀得2</w:t>
            </w:r>
            <w:r>
              <w:rPr>
                <w:rFonts w:hint="eastAsia" w:eastAsia="方正仿宋_GBK"/>
                <w:b w:val="0"/>
                <w:bCs w:val="0"/>
                <w:color w:val="000000" w:themeColor="text1"/>
                <w:sz w:val="21"/>
                <w:szCs w:val="21"/>
                <w:highlight w:val="none"/>
                <w14:textFill>
                  <w14:solidFill>
                    <w14:schemeClr w14:val="tx1"/>
                  </w14:solidFill>
                </w14:textFill>
              </w:rPr>
              <w:t>分，一般</w:t>
            </w:r>
            <w:r>
              <w:rPr>
                <w:rFonts w:hint="eastAsia" w:eastAsia="方正仿宋_GBK"/>
                <w:b w:val="0"/>
                <w:bCs w:val="0"/>
                <w:color w:val="000000" w:themeColor="text1"/>
                <w:sz w:val="21"/>
                <w:szCs w:val="21"/>
                <w:highlight w:val="none"/>
                <w:lang w:val="en-US" w:eastAsia="zh-CN"/>
                <w14:textFill>
                  <w14:solidFill>
                    <w14:schemeClr w14:val="tx1"/>
                  </w14:solidFill>
                </w14:textFill>
              </w:rPr>
              <w:t>得1分</w:t>
            </w:r>
            <w:r>
              <w:rPr>
                <w:rFonts w:hint="eastAsia" w:eastAsia="方正仿宋_GBK"/>
                <w:b w:val="0"/>
                <w:bCs w:val="0"/>
                <w:color w:val="000000" w:themeColor="text1"/>
                <w:sz w:val="21"/>
                <w:szCs w:val="21"/>
                <w:highlight w:val="none"/>
                <w14:textFill>
                  <w14:solidFill>
                    <w14:schemeClr w14:val="tx1"/>
                  </w14:solidFill>
                </w14:textFill>
              </w:rPr>
              <w:t>。</w:t>
            </w:r>
          </w:p>
          <w:p>
            <w:pPr>
              <w:pStyle w:val="13"/>
              <w:widowControl/>
              <w:topLinePunct/>
              <w:adjustRightInd w:val="0"/>
              <w:snapToGrid w:val="0"/>
              <w:spacing w:line="300" w:lineRule="exact"/>
              <w:jc w:val="both"/>
              <w:rPr>
                <w:rFonts w:eastAsia="方正仿宋_GBK"/>
                <w:color w:val="000000" w:themeColor="text1"/>
                <w:sz w:val="21"/>
                <w:szCs w:val="21"/>
                <w:highlight w:val="none"/>
                <w14:textFill>
                  <w14:solidFill>
                    <w14:schemeClr w14:val="tx1"/>
                  </w14:solidFill>
                </w14:textFill>
              </w:rPr>
            </w:pPr>
            <w:r>
              <w:rPr>
                <w:rFonts w:hint="eastAsia" w:eastAsia="方正仿宋_GBK"/>
                <w:b w:val="0"/>
                <w:bCs w:val="0"/>
                <w:color w:val="000000" w:themeColor="text1"/>
                <w:sz w:val="21"/>
                <w:szCs w:val="21"/>
                <w:highlight w:val="none"/>
                <w:lang w:val="en-US" w:eastAsia="zh-CN"/>
                <w14:textFill>
                  <w14:solidFill>
                    <w14:schemeClr w14:val="tx1"/>
                  </w14:solidFill>
                </w14:textFill>
              </w:rPr>
              <w:t>5</w:t>
            </w:r>
            <w:r>
              <w:rPr>
                <w:rFonts w:hint="eastAsia" w:eastAsia="方正仿宋_GBK"/>
                <w:b w:val="0"/>
                <w:bCs w:val="0"/>
                <w:color w:val="000000" w:themeColor="text1"/>
                <w:sz w:val="21"/>
                <w:szCs w:val="21"/>
                <w:highlight w:val="none"/>
                <w14:textFill>
                  <w14:solidFill>
                    <w14:schemeClr w14:val="tx1"/>
                  </w14:solidFill>
                </w14:textFill>
              </w:rPr>
              <w:t>、项目的应急服务方案，评委根据供应商针对项目提供的应急服务方案的完整性、合理性、科学性等做出综合性评价。</w:t>
            </w:r>
            <w:r>
              <w:rPr>
                <w:rFonts w:hint="eastAsia" w:eastAsia="方正仿宋_GBK"/>
                <w:b w:val="0"/>
                <w:bCs w:val="0"/>
                <w:color w:val="000000" w:themeColor="text1"/>
                <w:sz w:val="21"/>
                <w:szCs w:val="21"/>
                <w:highlight w:val="none"/>
                <w:lang w:val="en-US" w:eastAsia="zh-CN"/>
                <w14:textFill>
                  <w14:solidFill>
                    <w14:schemeClr w14:val="tx1"/>
                  </w14:solidFill>
                </w14:textFill>
              </w:rPr>
              <w:t>优秀得2</w:t>
            </w:r>
            <w:r>
              <w:rPr>
                <w:rFonts w:hint="eastAsia" w:eastAsia="方正仿宋_GBK"/>
                <w:b w:val="0"/>
                <w:bCs w:val="0"/>
                <w:color w:val="000000" w:themeColor="text1"/>
                <w:sz w:val="21"/>
                <w:szCs w:val="21"/>
                <w:highlight w:val="none"/>
                <w14:textFill>
                  <w14:solidFill>
                    <w14:schemeClr w14:val="tx1"/>
                  </w14:solidFill>
                </w14:textFill>
              </w:rPr>
              <w:t>分，一般</w:t>
            </w:r>
            <w:r>
              <w:rPr>
                <w:rFonts w:hint="eastAsia" w:eastAsia="方正仿宋_GBK"/>
                <w:b w:val="0"/>
                <w:bCs w:val="0"/>
                <w:color w:val="000000" w:themeColor="text1"/>
                <w:sz w:val="21"/>
                <w:szCs w:val="21"/>
                <w:highlight w:val="none"/>
                <w:lang w:val="en-US" w:eastAsia="zh-CN"/>
                <w14:textFill>
                  <w14:solidFill>
                    <w14:schemeClr w14:val="tx1"/>
                  </w14:solidFill>
                </w14:textFill>
              </w:rPr>
              <w:t>得1分</w:t>
            </w:r>
            <w:r>
              <w:rPr>
                <w:rFonts w:hint="eastAsia" w:eastAsia="方正仿宋_GBK"/>
                <w:b w:val="0"/>
                <w:bCs w:val="0"/>
                <w:color w:val="000000" w:themeColor="text1"/>
                <w:sz w:val="21"/>
                <w:szCs w:val="21"/>
                <w:highlight w:val="none"/>
                <w14:textFill>
                  <w14:solidFill>
                    <w14:schemeClr w14:val="tx1"/>
                  </w14:solidFill>
                </w14:textFill>
              </w:rPr>
              <w:t>。</w:t>
            </w:r>
          </w:p>
        </w:tc>
        <w:tc>
          <w:tcPr>
            <w:tcW w:w="839" w:type="pct"/>
            <w:tcBorders>
              <w:top w:val="single" w:color="auto" w:sz="4" w:space="0"/>
              <w:left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shd w:val="clear" w:color="auto" w:fill="FFFFFF"/>
                <w14:textFill>
                  <w14:solidFill>
                    <w14:schemeClr w14:val="tx1"/>
                  </w14:solidFill>
                </w14:textFill>
              </w:rPr>
            </w:pPr>
            <w:r>
              <w:rPr>
                <w:rFonts w:eastAsia="方正仿宋_GBK"/>
                <w:color w:val="000000" w:themeColor="text1"/>
                <w:sz w:val="21"/>
                <w:szCs w:val="21"/>
                <w:highlight w:val="none"/>
                <w:shd w:val="clear" w:color="auto" w:fill="FFFFFF"/>
                <w14:textFill>
                  <w14:solidFill>
                    <w14:schemeClr w14:val="tx1"/>
                  </w14:solidFill>
                </w14:textFill>
              </w:rPr>
              <w:t>评标委员会成员根据响应供应商制定的方案优劣程度独立评分。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74" w:type="pct"/>
            <w:vMerge w:val="restart"/>
            <w:tcBorders>
              <w:top w:val="single" w:color="auto" w:sz="4" w:space="0"/>
              <w:left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hint="eastAsia" w:eastAsia="方正仿宋_GBK"/>
                <w:color w:val="000000" w:themeColor="text1"/>
                <w:sz w:val="21"/>
                <w:szCs w:val="21"/>
                <w:highlight w:val="none"/>
                <w14:textFill>
                  <w14:solidFill>
                    <w14:schemeClr w14:val="tx1"/>
                  </w14:solidFill>
                </w14:textFill>
              </w:rPr>
              <w:t>3</w:t>
            </w:r>
          </w:p>
        </w:tc>
        <w:tc>
          <w:tcPr>
            <w:tcW w:w="431" w:type="pct"/>
            <w:vMerge w:val="restart"/>
            <w:tcBorders>
              <w:top w:val="single" w:color="auto" w:sz="4" w:space="0"/>
              <w:left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hint="eastAsia" w:eastAsia="方正仿宋_GBK"/>
                <w:color w:val="000000" w:themeColor="text1"/>
                <w:sz w:val="21"/>
                <w:szCs w:val="21"/>
                <w:highlight w:val="none"/>
                <w14:textFill>
                  <w14:solidFill>
                    <w14:schemeClr w14:val="tx1"/>
                  </w14:solidFill>
                </w14:textFill>
              </w:rPr>
              <w:t>商务部分（2</w:t>
            </w:r>
            <w:r>
              <w:rPr>
                <w:rFonts w:hint="eastAsia" w:eastAsia="方正仿宋_GBK"/>
                <w:color w:val="000000" w:themeColor="text1"/>
                <w:sz w:val="21"/>
                <w:szCs w:val="21"/>
                <w:highlight w:val="none"/>
                <w:lang w:val="en-US" w:eastAsia="zh-CN"/>
                <w14:textFill>
                  <w14:solidFill>
                    <w14:schemeClr w14:val="tx1"/>
                  </w14:solidFill>
                </w14:textFill>
              </w:rPr>
              <w:t>0</w:t>
            </w:r>
            <w:r>
              <w:rPr>
                <w:rFonts w:hint="eastAsia" w:eastAsia="方正仿宋_GBK"/>
                <w:color w:val="000000" w:themeColor="text1"/>
                <w:sz w:val="21"/>
                <w:szCs w:val="21"/>
                <w:highlight w:val="none"/>
                <w14:textFill>
                  <w14:solidFill>
                    <w14:schemeClr w14:val="tx1"/>
                  </w14:solidFill>
                </w14:textFill>
              </w:rPr>
              <w:t>%）</w:t>
            </w: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jc w:val="center"/>
              <w:rPr>
                <w:rFonts w:eastAsia="方正仿宋_GBK"/>
                <w:color w:val="000000" w:themeColor="text1"/>
                <w:sz w:val="21"/>
                <w:szCs w:val="21"/>
                <w:highlight w:val="none"/>
                <w:shd w:val="clear" w:color="auto" w:fill="FFFFFF"/>
                <w14:textFill>
                  <w14:solidFill>
                    <w14:schemeClr w14:val="tx1"/>
                  </w14:solidFill>
                </w14:textFill>
              </w:rPr>
            </w:pPr>
            <w:r>
              <w:rPr>
                <w:rFonts w:hint="eastAsia" w:eastAsia="方正仿宋_GBK"/>
                <w:color w:val="000000" w:themeColor="text1"/>
                <w:sz w:val="21"/>
                <w:szCs w:val="21"/>
                <w:highlight w:val="none"/>
                <w:shd w:val="clear" w:color="auto" w:fill="FFFFFF"/>
                <w14:textFill>
                  <w14:solidFill>
                    <w14:schemeClr w14:val="tx1"/>
                  </w14:solidFill>
                </w14:textFill>
              </w:rPr>
              <w:t>综合实力</w:t>
            </w:r>
          </w:p>
          <w:p>
            <w:pPr>
              <w:widowControl/>
              <w:topLinePunct/>
              <w:adjustRightInd w:val="0"/>
              <w:snapToGrid w:val="0"/>
              <w:spacing w:line="300" w:lineRule="exact"/>
              <w:jc w:val="center"/>
              <w:rPr>
                <w:rFonts w:eastAsia="方正仿宋_GBK"/>
                <w:color w:val="000000" w:themeColor="text1"/>
                <w:sz w:val="21"/>
                <w:szCs w:val="21"/>
                <w:highlight w:val="none"/>
                <w:shd w:val="clear" w:color="auto" w:fill="FFFFFF"/>
                <w14:textFill>
                  <w14:solidFill>
                    <w14:schemeClr w14:val="tx1"/>
                  </w14:solidFill>
                </w14:textFill>
              </w:rPr>
            </w:pPr>
            <w:r>
              <w:rPr>
                <w:rFonts w:eastAsia="方正仿宋_GBK"/>
                <w:color w:val="000000" w:themeColor="text1"/>
                <w:sz w:val="21"/>
                <w:szCs w:val="21"/>
                <w:highlight w:val="none"/>
                <w:shd w:val="clear" w:color="auto" w:fill="FFFFFF"/>
                <w14:textFill>
                  <w14:solidFill>
                    <w14:schemeClr w14:val="tx1"/>
                  </w14:solidFill>
                </w14:textFill>
              </w:rPr>
              <w:t>（</w:t>
            </w:r>
            <w:r>
              <w:rPr>
                <w:rFonts w:hint="eastAsia" w:eastAsia="方正仿宋_GBK"/>
                <w:color w:val="000000" w:themeColor="text1"/>
                <w:sz w:val="21"/>
                <w:szCs w:val="21"/>
                <w:highlight w:val="none"/>
                <w:shd w:val="clear" w:color="auto" w:fill="FFFFFF"/>
                <w:lang w:val="en-US" w:eastAsia="zh-CN"/>
                <w14:textFill>
                  <w14:solidFill>
                    <w14:schemeClr w14:val="tx1"/>
                  </w14:solidFill>
                </w14:textFill>
              </w:rPr>
              <w:t>4</w:t>
            </w:r>
            <w:r>
              <w:rPr>
                <w:rFonts w:eastAsia="方正仿宋_GBK"/>
                <w:color w:val="000000" w:themeColor="text1"/>
                <w:sz w:val="21"/>
                <w:szCs w:val="21"/>
                <w:highlight w:val="none"/>
                <w:shd w:val="clear" w:color="auto" w:fill="FFFFFF"/>
                <w14:textFill>
                  <w14:solidFill>
                    <w14:schemeClr w14:val="tx1"/>
                  </w14:solidFill>
                </w14:textFill>
              </w:rPr>
              <w:t>%）</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jc w:val="center"/>
              <w:rPr>
                <w:rFonts w:hint="eastAsia" w:eastAsia="方正仿宋_GBK"/>
                <w:color w:val="000000" w:themeColor="text1"/>
                <w:sz w:val="21"/>
                <w:szCs w:val="21"/>
                <w:highlight w:val="none"/>
                <w:shd w:val="clear" w:color="auto" w:fill="FFFFFF"/>
                <w:lang w:eastAsia="zh-CN"/>
                <w14:textFill>
                  <w14:solidFill>
                    <w14:schemeClr w14:val="tx1"/>
                  </w14:solidFill>
                </w14:textFill>
              </w:rPr>
            </w:pPr>
            <w:r>
              <w:rPr>
                <w:rFonts w:hint="eastAsia" w:eastAsia="方正仿宋_GBK"/>
                <w:color w:val="000000" w:themeColor="text1"/>
                <w:sz w:val="21"/>
                <w:szCs w:val="21"/>
                <w:highlight w:val="none"/>
                <w:shd w:val="clear" w:color="auto" w:fill="FFFFFF"/>
                <w:lang w:val="en-US" w:eastAsia="zh-CN"/>
                <w14:textFill>
                  <w14:solidFill>
                    <w14:schemeClr w14:val="tx1"/>
                  </w14:solidFill>
                </w14:textFill>
              </w:rPr>
              <w:t>4</w:t>
            </w:r>
          </w:p>
        </w:tc>
        <w:tc>
          <w:tcPr>
            <w:tcW w:w="27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shd w:val="clear" w:color="auto" w:fill="FFFFFF"/>
                <w14:textFill>
                  <w14:solidFill>
                    <w14:schemeClr w14:val="tx1"/>
                  </w14:solidFill>
                </w14:textFill>
              </w:rPr>
            </w:pPr>
            <w:r>
              <w:rPr>
                <w:rFonts w:hint="eastAsia" w:eastAsia="方正仿宋_GBK"/>
                <w:color w:val="000000" w:themeColor="text1"/>
                <w:sz w:val="21"/>
                <w:szCs w:val="21"/>
                <w:highlight w:val="none"/>
                <w:shd w:val="clear" w:color="auto" w:fill="FFFFFF"/>
                <w14:textFill>
                  <w14:solidFill>
                    <w14:schemeClr w14:val="tx1"/>
                  </w14:solidFill>
                </w14:textFill>
              </w:rPr>
              <w:t>1、供应商具有有效期内能源管理体系认证证书得</w:t>
            </w:r>
            <w:r>
              <w:rPr>
                <w:rFonts w:hint="eastAsia" w:eastAsia="方正仿宋_GBK"/>
                <w:color w:val="000000" w:themeColor="text1"/>
                <w:sz w:val="21"/>
                <w:szCs w:val="21"/>
                <w:highlight w:val="none"/>
                <w:shd w:val="clear" w:color="auto" w:fill="FFFFFF"/>
                <w:lang w:val="en-US" w:eastAsia="zh-CN"/>
                <w14:textFill>
                  <w14:solidFill>
                    <w14:schemeClr w14:val="tx1"/>
                  </w14:solidFill>
                </w14:textFill>
              </w:rPr>
              <w:t>2</w:t>
            </w:r>
            <w:r>
              <w:rPr>
                <w:rFonts w:hint="eastAsia" w:eastAsia="方正仿宋_GBK"/>
                <w:color w:val="000000" w:themeColor="text1"/>
                <w:sz w:val="21"/>
                <w:szCs w:val="21"/>
                <w:highlight w:val="none"/>
                <w:shd w:val="clear" w:color="auto" w:fill="FFFFFF"/>
                <w14:textFill>
                  <w14:solidFill>
                    <w14:schemeClr w14:val="tx1"/>
                  </w14:solidFill>
                </w14:textFill>
              </w:rPr>
              <w:t>分，未提供或不满足得0分。</w:t>
            </w:r>
          </w:p>
          <w:p>
            <w:pPr>
              <w:widowControl/>
              <w:topLinePunct/>
              <w:adjustRightInd w:val="0"/>
              <w:snapToGrid w:val="0"/>
              <w:spacing w:line="300" w:lineRule="exact"/>
              <w:rPr>
                <w:color w:val="000000" w:themeColor="text1"/>
                <w:highlight w:val="none"/>
                <w14:textFill>
                  <w14:solidFill>
                    <w14:schemeClr w14:val="tx1"/>
                  </w14:solidFill>
                </w14:textFill>
              </w:rPr>
            </w:pPr>
            <w:r>
              <w:rPr>
                <w:rFonts w:hint="eastAsia" w:eastAsia="方正仿宋_GBK"/>
                <w:color w:val="000000" w:themeColor="text1"/>
                <w:sz w:val="21"/>
                <w:szCs w:val="21"/>
                <w:highlight w:val="none"/>
                <w:shd w:val="clear" w:color="auto" w:fill="FFFFFF"/>
                <w14:textFill>
                  <w14:solidFill>
                    <w14:schemeClr w14:val="tx1"/>
                  </w14:solidFill>
                </w14:textFill>
              </w:rPr>
              <w:t>2、供应商具有有效期内应急预案能力评价认证证书（五星级）得</w:t>
            </w:r>
            <w:r>
              <w:rPr>
                <w:rFonts w:hint="eastAsia" w:eastAsia="方正仿宋_GBK"/>
                <w:color w:val="000000" w:themeColor="text1"/>
                <w:sz w:val="21"/>
                <w:szCs w:val="21"/>
                <w:highlight w:val="none"/>
                <w:shd w:val="clear" w:color="auto" w:fill="FFFFFF"/>
                <w:lang w:val="en-US" w:eastAsia="zh-CN"/>
                <w14:textFill>
                  <w14:solidFill>
                    <w14:schemeClr w14:val="tx1"/>
                  </w14:solidFill>
                </w14:textFill>
              </w:rPr>
              <w:t>2</w:t>
            </w:r>
            <w:r>
              <w:rPr>
                <w:rFonts w:hint="eastAsia" w:eastAsia="方正仿宋_GBK"/>
                <w:color w:val="000000" w:themeColor="text1"/>
                <w:sz w:val="21"/>
                <w:szCs w:val="21"/>
                <w:highlight w:val="none"/>
                <w:shd w:val="clear" w:color="auto" w:fill="FFFFFF"/>
                <w14:textFill>
                  <w14:solidFill>
                    <w14:schemeClr w14:val="tx1"/>
                  </w14:solidFill>
                </w14:textFill>
              </w:rPr>
              <w:t>分，未提供或不满足得0分。</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eastAsia="方正仿宋_GBK"/>
                <w:color w:val="000000" w:themeColor="text1"/>
                <w:sz w:val="21"/>
                <w:szCs w:val="21"/>
                <w:highlight w:val="none"/>
                <w14:textFill>
                  <w14:solidFill>
                    <w14:schemeClr w14:val="tx1"/>
                  </w14:solidFill>
                </w14:textFill>
              </w:rPr>
              <w:t>提供</w:t>
            </w:r>
            <w:r>
              <w:rPr>
                <w:rFonts w:hint="eastAsia" w:eastAsia="方正仿宋_GBK"/>
                <w:color w:val="000000" w:themeColor="text1"/>
                <w:sz w:val="21"/>
                <w:szCs w:val="21"/>
                <w:highlight w:val="none"/>
                <w14:textFill>
                  <w14:solidFill>
                    <w14:schemeClr w14:val="tx1"/>
                  </w14:solidFill>
                </w14:textFill>
              </w:rPr>
              <w:t>证书复印件和全国认可认证官网查询截图，并加盖供应商公章。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27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p>
        </w:tc>
        <w:tc>
          <w:tcPr>
            <w:tcW w:w="4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eastAsia="方正仿宋_GBK"/>
                <w:color w:val="000000" w:themeColor="text1"/>
                <w:sz w:val="21"/>
                <w:szCs w:val="21"/>
                <w:highlight w:val="none"/>
                <w14:textFill>
                  <w14:solidFill>
                    <w14:schemeClr w14:val="tx1"/>
                  </w14:solidFill>
                </w14:textFill>
              </w:rPr>
              <w:t>人员配备（</w:t>
            </w:r>
            <w:r>
              <w:rPr>
                <w:rFonts w:hint="eastAsia" w:eastAsia="方正仿宋_GBK"/>
                <w:color w:val="000000" w:themeColor="text1"/>
                <w:sz w:val="21"/>
                <w:szCs w:val="21"/>
                <w:highlight w:val="none"/>
                <w14:textFill>
                  <w14:solidFill>
                    <w14:schemeClr w14:val="tx1"/>
                  </w14:solidFill>
                </w14:textFill>
              </w:rPr>
              <w:t>12</w:t>
            </w:r>
            <w:r>
              <w:rPr>
                <w:rFonts w:eastAsia="方正仿宋_GBK"/>
                <w:color w:val="000000" w:themeColor="text1"/>
                <w:sz w:val="21"/>
                <w:szCs w:val="21"/>
                <w:highlight w:val="none"/>
                <w14:textFill>
                  <w14:solidFill>
                    <w14:schemeClr w14:val="tx1"/>
                  </w14:solidFill>
                </w14:textFill>
              </w:rPr>
              <w:t>%）</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hint="eastAsia" w:eastAsia="方正仿宋_GBK"/>
                <w:color w:val="000000" w:themeColor="text1"/>
                <w:sz w:val="21"/>
                <w:szCs w:val="21"/>
                <w:highlight w:val="none"/>
                <w14:textFill>
                  <w14:solidFill>
                    <w14:schemeClr w14:val="tx1"/>
                  </w14:solidFill>
                </w14:textFill>
              </w:rPr>
              <w:t>12</w:t>
            </w:r>
          </w:p>
        </w:tc>
        <w:tc>
          <w:tcPr>
            <w:tcW w:w="27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topLinePunct/>
              <w:adjustRightInd w:val="0"/>
              <w:snapToGrid w:val="0"/>
              <w:spacing w:before="0" w:beforeAutospacing="0" w:after="0" w:afterAutospacing="0" w:line="300" w:lineRule="exact"/>
              <w:jc w:val="both"/>
              <w:rPr>
                <w:rFonts w:ascii="Times New Roman" w:hAnsi="Times New Roman" w:eastAsia="方正仿宋_GBK"/>
                <w:color w:val="000000" w:themeColor="text1"/>
                <w:kern w:val="2"/>
                <w:sz w:val="21"/>
                <w:szCs w:val="21"/>
                <w:highlight w:val="none"/>
                <w:shd w:val="clear" w:color="auto" w:fill="FFFFFF"/>
                <w14:textFill>
                  <w14:solidFill>
                    <w14:schemeClr w14:val="tx1"/>
                  </w14:solidFill>
                </w14:textFill>
              </w:rPr>
            </w:pPr>
            <w:r>
              <w:rPr>
                <w:rFonts w:hint="eastAsia" w:ascii="Times New Roman" w:hAnsi="Times New Roman" w:eastAsia="方正仿宋_GBK"/>
                <w:color w:val="000000" w:themeColor="text1"/>
                <w:kern w:val="2"/>
                <w:sz w:val="21"/>
                <w:szCs w:val="21"/>
                <w:highlight w:val="none"/>
                <w:shd w:val="clear" w:color="auto" w:fill="FFFFFF"/>
                <w14:textFill>
                  <w14:solidFill>
                    <w14:schemeClr w14:val="tx1"/>
                  </w14:solidFill>
                </w14:textFill>
              </w:rPr>
              <w:t>在满足第二篇 项目服务需求 的基础上：</w:t>
            </w:r>
          </w:p>
          <w:p>
            <w:pPr>
              <w:pStyle w:val="15"/>
              <w:topLinePunct/>
              <w:adjustRightInd w:val="0"/>
              <w:snapToGrid w:val="0"/>
              <w:spacing w:before="0" w:beforeAutospacing="0" w:after="0" w:afterAutospacing="0" w:line="300" w:lineRule="exact"/>
              <w:jc w:val="both"/>
              <w:rPr>
                <w:rFonts w:ascii="Times New Roman" w:hAnsi="Times New Roman" w:eastAsia="方正仿宋_GBK"/>
                <w:color w:val="000000" w:themeColor="text1"/>
                <w:kern w:val="2"/>
                <w:sz w:val="21"/>
                <w:szCs w:val="21"/>
                <w:highlight w:val="none"/>
                <w:shd w:val="clear" w:color="auto" w:fill="FFFFFF"/>
                <w14:textFill>
                  <w14:solidFill>
                    <w14:schemeClr w14:val="tx1"/>
                  </w14:solidFill>
                </w14:textFill>
              </w:rPr>
            </w:pPr>
            <w:r>
              <w:rPr>
                <w:rFonts w:ascii="Times New Roman" w:hAnsi="Times New Roman" w:eastAsia="方正仿宋_GBK"/>
                <w:color w:val="000000" w:themeColor="text1"/>
                <w:kern w:val="2"/>
                <w:sz w:val="21"/>
                <w:szCs w:val="21"/>
                <w:highlight w:val="none"/>
                <w:shd w:val="clear" w:color="auto" w:fill="FFFFFF"/>
                <w14:textFill>
                  <w14:solidFill>
                    <w14:schemeClr w14:val="tx1"/>
                  </w14:solidFill>
                </w14:textFill>
              </w:rPr>
              <w:t>1.</w:t>
            </w:r>
            <w:r>
              <w:rPr>
                <w:rFonts w:hint="eastAsia" w:ascii="Times New Roman" w:hAnsi="Times New Roman" w:eastAsia="方正仿宋_GBK"/>
                <w:color w:val="000000" w:themeColor="text1"/>
                <w:kern w:val="2"/>
                <w:sz w:val="21"/>
                <w:szCs w:val="21"/>
                <w:highlight w:val="none"/>
                <w:shd w:val="clear" w:color="auto" w:fill="FFFFFF"/>
                <w14:textFill>
                  <w14:solidFill>
                    <w14:schemeClr w14:val="tx1"/>
                  </w14:solidFill>
                </w14:textFill>
              </w:rPr>
              <w:t>拟派配电室运维人员持有中华人民共和国特种作业操作证（操作项目：低压电工作业）的，1人得1分，本项最多</w:t>
            </w:r>
            <w:r>
              <w:rPr>
                <w:rFonts w:ascii="Times New Roman" w:hAnsi="Times New Roman" w:eastAsia="方正仿宋_GBK"/>
                <w:color w:val="000000" w:themeColor="text1"/>
                <w:kern w:val="2"/>
                <w:sz w:val="21"/>
                <w:szCs w:val="21"/>
                <w:highlight w:val="none"/>
                <w:shd w:val="clear" w:color="auto" w:fill="FFFFFF"/>
                <w14:textFill>
                  <w14:solidFill>
                    <w14:schemeClr w14:val="tx1"/>
                  </w14:solidFill>
                </w14:textFill>
              </w:rPr>
              <w:t>得</w:t>
            </w:r>
            <w:r>
              <w:rPr>
                <w:rFonts w:hint="eastAsia" w:ascii="Times New Roman" w:hAnsi="Times New Roman" w:eastAsia="方正仿宋_GBK"/>
                <w:color w:val="000000" w:themeColor="text1"/>
                <w:kern w:val="2"/>
                <w:sz w:val="21"/>
                <w:szCs w:val="21"/>
                <w:highlight w:val="none"/>
                <w:shd w:val="clear" w:color="auto" w:fill="FFFFFF"/>
                <w14:textFill>
                  <w14:solidFill>
                    <w14:schemeClr w14:val="tx1"/>
                  </w14:solidFill>
                </w14:textFill>
              </w:rPr>
              <w:t>8</w:t>
            </w:r>
            <w:r>
              <w:rPr>
                <w:rFonts w:ascii="Times New Roman" w:hAnsi="Times New Roman" w:eastAsia="方正仿宋_GBK"/>
                <w:color w:val="000000" w:themeColor="text1"/>
                <w:kern w:val="2"/>
                <w:sz w:val="21"/>
                <w:szCs w:val="21"/>
                <w:highlight w:val="none"/>
                <w:shd w:val="clear" w:color="auto" w:fill="FFFFFF"/>
                <w14:textFill>
                  <w14:solidFill>
                    <w14:schemeClr w14:val="tx1"/>
                  </w14:solidFill>
                </w14:textFill>
              </w:rPr>
              <w:t>分。</w:t>
            </w:r>
          </w:p>
          <w:p>
            <w:pPr>
              <w:pStyle w:val="15"/>
              <w:topLinePunct/>
              <w:adjustRightInd w:val="0"/>
              <w:snapToGrid w:val="0"/>
              <w:spacing w:before="0" w:beforeAutospacing="0" w:after="0" w:afterAutospacing="0" w:line="300" w:lineRule="exact"/>
              <w:jc w:val="both"/>
              <w:rPr>
                <w:rFonts w:ascii="Times New Roman" w:hAnsi="Times New Roman" w:eastAsia="方正仿宋_GBK"/>
                <w:color w:val="000000" w:themeColor="text1"/>
                <w:kern w:val="2"/>
                <w:sz w:val="21"/>
                <w:szCs w:val="21"/>
                <w:highlight w:val="none"/>
                <w:shd w:val="clear" w:color="auto" w:fill="FFFFFF"/>
                <w14:textFill>
                  <w14:solidFill>
                    <w14:schemeClr w14:val="tx1"/>
                  </w14:solidFill>
                </w14:textFill>
              </w:rPr>
            </w:pPr>
            <w:r>
              <w:rPr>
                <w:rFonts w:ascii="Times New Roman" w:hAnsi="Times New Roman" w:eastAsia="方正仿宋_GBK"/>
                <w:color w:val="000000" w:themeColor="text1"/>
                <w:kern w:val="2"/>
                <w:sz w:val="21"/>
                <w:szCs w:val="21"/>
                <w:highlight w:val="none"/>
                <w:shd w:val="clear" w:color="auto" w:fill="FFFFFF"/>
                <w14:textFill>
                  <w14:solidFill>
                    <w14:schemeClr w14:val="tx1"/>
                  </w14:solidFill>
                </w14:textFill>
              </w:rPr>
              <w:t>2.</w:t>
            </w:r>
            <w:r>
              <w:rPr>
                <w:rFonts w:hint="eastAsia" w:ascii="Times New Roman" w:hAnsi="Times New Roman" w:eastAsia="方正仿宋_GBK"/>
                <w:color w:val="000000" w:themeColor="text1"/>
                <w:kern w:val="2"/>
                <w:sz w:val="21"/>
                <w:szCs w:val="21"/>
                <w:highlight w:val="none"/>
                <w:shd w:val="clear" w:color="auto" w:fill="FFFFFF"/>
                <w14:textFill>
                  <w14:solidFill>
                    <w14:schemeClr w14:val="tx1"/>
                  </w14:solidFill>
                </w14:textFill>
              </w:rPr>
              <w:t>投标人拟派人员中，持有行政主管部门或行政主管部门备案组织颁发的电工（三级/高级工及以上）职业资格或职业技能等级证书的，1人得2分，本项最多得4分。</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hint="eastAsia" w:ascii="Times New Roman" w:eastAsia="方正仿宋_GBK"/>
                <w:color w:val="000000" w:themeColor="text1"/>
                <w:kern w:val="2"/>
                <w:sz w:val="21"/>
                <w:szCs w:val="21"/>
                <w:highlight w:val="none"/>
                <w:shd w:val="clear" w:color="auto" w:fill="FFFFFF"/>
                <w14:textFill>
                  <w14:solidFill>
                    <w14:schemeClr w14:val="tx1"/>
                  </w14:solidFill>
                </w14:textFill>
              </w:rPr>
              <w:t>提供证书复印件</w:t>
            </w:r>
            <w:r>
              <w:rPr>
                <w:rFonts w:hint="eastAsia" w:eastAsia="方正仿宋_GBK"/>
                <w:color w:val="000000" w:themeColor="text1"/>
                <w:kern w:val="2"/>
                <w:sz w:val="21"/>
                <w:szCs w:val="21"/>
                <w:highlight w:val="none"/>
                <w:shd w:val="clear" w:color="auto" w:fill="FFFFFF"/>
                <w14:textFill>
                  <w14:solidFill>
                    <w14:schemeClr w14:val="tx1"/>
                  </w14:solidFill>
                </w14:textFill>
              </w:rPr>
              <w:t>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2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eastAsia="方正仿宋_GBK"/>
                <w:color w:val="000000" w:themeColor="text1"/>
                <w:sz w:val="21"/>
                <w:szCs w:val="21"/>
                <w:highlight w:val="none"/>
                <w14:textFill>
                  <w14:solidFill>
                    <w14:schemeClr w14:val="tx1"/>
                  </w14:solidFill>
                </w14:textFill>
              </w:rPr>
            </w:pPr>
            <w:r>
              <w:rPr>
                <w:rFonts w:hint="eastAsia" w:eastAsia="方正仿宋_GBK"/>
                <w:color w:val="000000" w:themeColor="text1"/>
                <w:sz w:val="21"/>
                <w:szCs w:val="21"/>
                <w:highlight w:val="none"/>
                <w14:textFill>
                  <w14:solidFill>
                    <w14:schemeClr w14:val="tx1"/>
                  </w14:solidFill>
                </w14:textFill>
              </w:rPr>
              <w:t>业绩（</w:t>
            </w:r>
            <w:r>
              <w:rPr>
                <w:rFonts w:hint="eastAsia" w:eastAsia="方正仿宋_GBK"/>
                <w:color w:val="000000" w:themeColor="text1"/>
                <w:sz w:val="21"/>
                <w:szCs w:val="21"/>
                <w:highlight w:val="none"/>
                <w:lang w:val="en-US" w:eastAsia="zh-CN"/>
                <w14:textFill>
                  <w14:solidFill>
                    <w14:schemeClr w14:val="tx1"/>
                  </w14:solidFill>
                </w14:textFill>
              </w:rPr>
              <w:t>4</w:t>
            </w:r>
            <w:r>
              <w:rPr>
                <w:rFonts w:hint="eastAsia" w:eastAsia="方正仿宋_GBK"/>
                <w:color w:val="000000" w:themeColor="text1"/>
                <w:sz w:val="21"/>
                <w:szCs w:val="21"/>
                <w:highlight w:val="none"/>
                <w14:textFill>
                  <w14:solidFill>
                    <w14:schemeClr w14:val="tx1"/>
                  </w14:solidFill>
                </w14:textFill>
              </w:rPr>
              <w:t>%）</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hint="eastAsia" w:eastAsia="方正仿宋_GBK"/>
                <w:color w:val="000000" w:themeColor="text1"/>
                <w:sz w:val="21"/>
                <w:szCs w:val="21"/>
                <w:highlight w:val="none"/>
                <w:lang w:eastAsia="zh-CN"/>
                <w14:textFill>
                  <w14:solidFill>
                    <w14:schemeClr w14:val="tx1"/>
                  </w14:solidFill>
                </w14:textFill>
              </w:rPr>
            </w:pPr>
            <w:r>
              <w:rPr>
                <w:rFonts w:hint="eastAsia" w:eastAsia="方正仿宋_GBK"/>
                <w:color w:val="000000" w:themeColor="text1"/>
                <w:sz w:val="21"/>
                <w:szCs w:val="21"/>
                <w:highlight w:val="none"/>
                <w:lang w:val="en-US" w:eastAsia="zh-CN"/>
                <w14:textFill>
                  <w14:solidFill>
                    <w14:schemeClr w14:val="tx1"/>
                  </w14:solidFill>
                </w14:textFill>
              </w:rPr>
              <w:t>4</w:t>
            </w:r>
          </w:p>
        </w:tc>
        <w:tc>
          <w:tcPr>
            <w:tcW w:w="27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topLinePunct/>
              <w:adjustRightInd w:val="0"/>
              <w:snapToGrid w:val="0"/>
              <w:spacing w:before="0" w:beforeAutospacing="0" w:after="0" w:afterAutospacing="0" w:line="300" w:lineRule="exact"/>
              <w:jc w:val="both"/>
              <w:rPr>
                <w:rFonts w:ascii="Times New Roman" w:hAnsi="Times New Roman" w:eastAsia="方正仿宋_GBK"/>
                <w:color w:val="000000" w:themeColor="text1"/>
                <w:kern w:val="2"/>
                <w:sz w:val="21"/>
                <w:szCs w:val="21"/>
                <w:highlight w:val="none"/>
                <w:shd w:val="clear" w:color="auto" w:fill="FFFFFF"/>
                <w14:textFill>
                  <w14:solidFill>
                    <w14:schemeClr w14:val="tx1"/>
                  </w14:solidFill>
                </w14:textFill>
              </w:rPr>
            </w:pPr>
            <w:r>
              <w:rPr>
                <w:rFonts w:hint="eastAsia" w:ascii="Times New Roman" w:hAnsi="Times New Roman" w:eastAsia="方正仿宋_GBK"/>
                <w:color w:val="000000" w:themeColor="text1"/>
                <w:kern w:val="2"/>
                <w:sz w:val="21"/>
                <w:szCs w:val="21"/>
                <w:highlight w:val="none"/>
                <w:shd w:val="clear" w:color="auto" w:fill="FFFFFF"/>
                <w14:textFill>
                  <w14:solidFill>
                    <w14:schemeClr w14:val="tx1"/>
                  </w14:solidFill>
                </w14:textFill>
              </w:rPr>
              <w:t>2022年1月1日至投标截止日止，供应商具有的类似项目服务业绩的，且服务内容包含配电室（系统）运维、值守管理等任意一项及以上，1个得1分，本项最多</w:t>
            </w:r>
            <w:r>
              <w:rPr>
                <w:rFonts w:hint="eastAsia" w:ascii="Times New Roman" w:hAnsi="Times New Roman" w:eastAsia="方正仿宋_GBK"/>
                <w:color w:val="000000" w:themeColor="text1"/>
                <w:kern w:val="2"/>
                <w:sz w:val="21"/>
                <w:szCs w:val="21"/>
                <w:highlight w:val="none"/>
                <w:shd w:val="clear" w:color="auto" w:fill="FFFFFF"/>
                <w:lang w:val="en-US" w:eastAsia="zh-CN"/>
                <w14:textFill>
                  <w14:solidFill>
                    <w14:schemeClr w14:val="tx1"/>
                  </w14:solidFill>
                </w14:textFill>
              </w:rPr>
              <w:t>4</w:t>
            </w:r>
            <w:r>
              <w:rPr>
                <w:rFonts w:hint="eastAsia" w:ascii="Times New Roman" w:hAnsi="Times New Roman" w:eastAsia="方正仿宋_GBK"/>
                <w:color w:val="000000" w:themeColor="text1"/>
                <w:kern w:val="2"/>
                <w:sz w:val="21"/>
                <w:szCs w:val="21"/>
                <w:highlight w:val="none"/>
                <w:shd w:val="clear" w:color="auto" w:fill="FFFFFF"/>
                <w14:textFill>
                  <w14:solidFill>
                    <w14:schemeClr w14:val="tx1"/>
                  </w14:solidFill>
                </w14:textFill>
              </w:rPr>
              <w:t>分。</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adjustRightInd w:val="0"/>
              <w:snapToGrid w:val="0"/>
              <w:spacing w:line="300" w:lineRule="exact"/>
              <w:rPr>
                <w:rFonts w:ascii="Times New Roman" w:eastAsia="方正仿宋_GBK"/>
                <w:color w:val="000000" w:themeColor="text1"/>
                <w:kern w:val="2"/>
                <w:sz w:val="21"/>
                <w:szCs w:val="21"/>
                <w:highlight w:val="none"/>
                <w:shd w:val="clear" w:color="auto" w:fill="FFFFFF"/>
                <w14:textFill>
                  <w14:solidFill>
                    <w14:schemeClr w14:val="tx1"/>
                  </w14:solidFill>
                </w14:textFill>
              </w:rPr>
            </w:pPr>
            <w:r>
              <w:rPr>
                <w:rFonts w:hint="eastAsia" w:eastAsia="方正仿宋_GBK"/>
                <w:color w:val="000000" w:themeColor="text1"/>
                <w:kern w:val="2"/>
                <w:sz w:val="21"/>
                <w:szCs w:val="21"/>
                <w:highlight w:val="none"/>
                <w:shd w:val="clear" w:color="auto" w:fill="FFFFFF"/>
                <w14:textFill>
                  <w14:solidFill>
                    <w14:schemeClr w14:val="tx1"/>
                  </w14:solidFill>
                </w14:textFill>
              </w:rPr>
              <w:t>提供与业主单位签订合同复印件和支付凭证复印件并加盖供应商公章。</w:t>
            </w:r>
          </w:p>
        </w:tc>
      </w:tr>
    </w:tbl>
    <w:p>
      <w:pPr>
        <w:pStyle w:val="3"/>
        <w:rPr>
          <w:rFonts w:hint="eastAsia"/>
          <w:color w:val="000000" w:themeColor="text1"/>
          <w:highlight w:val="none"/>
          <w14:textFill>
            <w14:solidFill>
              <w14:schemeClr w14:val="tx1"/>
            </w14:solidFill>
          </w14:textFill>
        </w:rPr>
      </w:pPr>
    </w:p>
    <w:p>
      <w:pPr>
        <w:pStyle w:val="3"/>
        <w:rPr>
          <w:rFonts w:ascii="宋体" w:hAnsi="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w:t>
      </w:r>
      <w:r>
        <w:rPr>
          <w:rFonts w:hint="eastAsia" w:ascii="宋体" w:hAnsi="宋体" w:cs="宋体"/>
          <w:color w:val="000000" w:themeColor="text1"/>
          <w:highlight w:val="none"/>
          <w14:textFill>
            <w14:solidFill>
              <w14:schemeClr w14:val="tx1"/>
            </w14:solidFill>
          </w14:textFill>
        </w:rPr>
        <w:t>无效投标条款</w:t>
      </w:r>
      <w:bookmarkEnd w:id="58"/>
      <w:bookmarkEnd w:id="59"/>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投标人或其响应文件出现下列情况之一者，应为无效投标：</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（一）未按照竞争性比选文件的规定提交投标保证金的；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（二）响应文件未按竞争性比选文件要求签署、盖章的；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（三）不具备竞争性比选文件中规定的资格要求的；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（四）报价超过竞争性比选文件中规定的预算金额或者最高限价的；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（五）响应文件含有采购人不能接受的附加条件的；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（六）投标人串通投标的；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（七）投标人组成联合体投标的；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（八）法律、法规和竞争性比选文件规定的其他无效情形。</w:t>
      </w:r>
    </w:p>
    <w:p>
      <w:pPr>
        <w:pStyle w:val="3"/>
        <w:rPr>
          <w:rFonts w:ascii="宋体" w:hAnsi="宋体" w:cs="宋体"/>
          <w:color w:val="000000" w:themeColor="text1"/>
          <w:highlight w:val="none"/>
          <w14:textFill>
            <w14:solidFill>
              <w14:schemeClr w14:val="tx1"/>
            </w14:solidFill>
          </w14:textFill>
        </w:rPr>
      </w:pPr>
      <w:bookmarkStart w:id="60" w:name="_Toc21425659"/>
      <w:bookmarkStart w:id="61" w:name="_Toc98942895"/>
      <w:r>
        <w:rPr>
          <w:rFonts w:hint="eastAsia" w:ascii="宋体" w:hAnsi="宋体" w:cs="宋体"/>
          <w:color w:val="000000" w:themeColor="text1"/>
          <w:highlight w:val="none"/>
          <w14:textFill>
            <w14:solidFill>
              <w14:schemeClr w14:val="tx1"/>
            </w14:solidFill>
          </w14:textFill>
        </w:rPr>
        <w:t>五、废标条款</w:t>
      </w:r>
      <w:bookmarkEnd w:id="60"/>
      <w:bookmarkEnd w:id="61"/>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评标委员会评审时出现以下情况之一的，应予废标：</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（一）符合专业条件的投标人或者对竞争性比选文件作实质响应的投标人不足</w:t>
      </w:r>
      <w:r>
        <w:rPr>
          <w:rFonts w:hint="eastAsia" w:hAnsi="宋体" w:cs="宋体"/>
          <w:color w:val="000000" w:themeColor="text1"/>
          <w:sz w:val="24"/>
          <w:szCs w:val="24"/>
          <w:highlight w:val="none"/>
          <w:lang w:eastAsia="zh-CN"/>
          <w14:textFill>
            <w14:solidFill>
              <w14:schemeClr w14:val="tx1"/>
            </w14:solidFill>
          </w14:textFill>
        </w:rPr>
        <w:t>两</w:t>
      </w:r>
      <w:r>
        <w:rPr>
          <w:rFonts w:hint="eastAsia" w:hAnsi="宋体" w:cs="宋体"/>
          <w:color w:val="000000" w:themeColor="text1"/>
          <w:sz w:val="24"/>
          <w:szCs w:val="24"/>
          <w:highlight w:val="none"/>
          <w14:textFill>
            <w14:solidFill>
              <w14:schemeClr w14:val="tx1"/>
            </w14:solidFill>
          </w14:textFill>
        </w:rPr>
        <w:t>家的；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（二）投标人的报价均超过了采购预算，采购人不能支付的；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（三）出现影响采购公正的违法、违规行为的；</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（四）因重大变故，采购任务取消的。</w:t>
      </w:r>
    </w:p>
    <w:p>
      <w:pPr>
        <w:snapToGrid w:val="0"/>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废标后，除采购任务取消情形外，应当重新组织采购。</w:t>
      </w:r>
    </w:p>
    <w:p>
      <w:pPr>
        <w:rPr>
          <w:rFonts w:hAnsi="宋体"/>
          <w:color w:val="000000" w:themeColor="text1"/>
          <w:highlight w:val="none"/>
          <w14:textFill>
            <w14:solidFill>
              <w14:schemeClr w14:val="tx1"/>
            </w14:solidFill>
          </w14:textFill>
        </w:rPr>
      </w:pPr>
      <w:bookmarkStart w:id="62" w:name="_Toc21425660"/>
      <w:bookmarkStart w:id="63" w:name="_Toc98942896"/>
      <w:r>
        <w:rPr>
          <w:rFonts w:hint="eastAsia" w:hAnsi="宋体"/>
          <w:color w:val="000000" w:themeColor="text1"/>
          <w:highlight w:val="none"/>
          <w14:textFill>
            <w14:solidFill>
              <w14:schemeClr w14:val="tx1"/>
            </w14:solidFill>
          </w14:textFill>
        </w:rPr>
        <w:br w:type="page"/>
      </w:r>
    </w:p>
    <w:p>
      <w:pPr>
        <w:pStyle w:val="2"/>
        <w:tabs>
          <w:tab w:val="left" w:pos="3360"/>
        </w:tabs>
        <w:spacing w:line="360" w:lineRule="auto"/>
        <w:rPr>
          <w:rFonts w:ascii="宋体" w:hAnsi="宋体" w:eastAsia="宋体"/>
          <w:b w:val="0"/>
          <w:color w:val="000000" w:themeColor="text1"/>
          <w:highlight w:val="none"/>
          <w14:textFill>
            <w14:solidFill>
              <w14:schemeClr w14:val="tx1"/>
            </w14:solidFill>
          </w14:textFill>
        </w:rPr>
      </w:pPr>
      <w:r>
        <w:rPr>
          <w:rFonts w:hint="eastAsia" w:ascii="宋体" w:hAnsi="宋体" w:eastAsia="宋体"/>
          <w:b w:val="0"/>
          <w:color w:val="000000" w:themeColor="text1"/>
          <w:highlight w:val="none"/>
          <w14:textFill>
            <w14:solidFill>
              <w14:schemeClr w14:val="tx1"/>
            </w14:solidFill>
          </w14:textFill>
        </w:rPr>
        <w:t>第五篇  投标人须知</w:t>
      </w:r>
      <w:bookmarkEnd w:id="62"/>
      <w:bookmarkEnd w:id="63"/>
    </w:p>
    <w:p>
      <w:pPr>
        <w:pStyle w:val="3"/>
        <w:rPr>
          <w:rFonts w:ascii="宋体" w:hAnsi="宋体" w:cs="宋体"/>
          <w:color w:val="000000" w:themeColor="text1"/>
          <w:highlight w:val="none"/>
          <w14:textFill>
            <w14:solidFill>
              <w14:schemeClr w14:val="tx1"/>
            </w14:solidFill>
          </w14:textFill>
        </w:rPr>
      </w:pPr>
      <w:bookmarkStart w:id="64" w:name="_Toc21425661"/>
      <w:bookmarkStart w:id="65" w:name="_Toc98942897"/>
      <w:r>
        <w:rPr>
          <w:rFonts w:hint="eastAsia"/>
          <w:color w:val="000000" w:themeColor="text1"/>
          <w:highlight w:val="none"/>
          <w14:textFill>
            <w14:solidFill>
              <w14:schemeClr w14:val="tx1"/>
            </w14:solidFill>
          </w14:textFill>
        </w:rPr>
        <w:t>一、</w:t>
      </w:r>
      <w:r>
        <w:rPr>
          <w:rFonts w:hint="eastAsia" w:ascii="宋体" w:hAnsi="宋体" w:cs="宋体"/>
          <w:color w:val="000000" w:themeColor="text1"/>
          <w:highlight w:val="none"/>
          <w14:textFill>
            <w14:solidFill>
              <w14:schemeClr w14:val="tx1"/>
            </w14:solidFill>
          </w14:textFill>
        </w:rPr>
        <w:t>投标人</w:t>
      </w:r>
      <w:bookmarkEnd w:id="64"/>
      <w:bookmarkEnd w:id="65"/>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（一）投标人</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投标人是指响应招标、参加投标竞争的法人、其他组织或者自然人。</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（二）合格投标人条件</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合格投标人应完全符合竞争性比选文件第一篇中规定的投标人资格条件，并对竞争性比选文件作出实质性响应。</w:t>
      </w:r>
    </w:p>
    <w:p>
      <w:pPr>
        <w:snapToGrid w:val="0"/>
        <w:spacing w:line="400" w:lineRule="exact"/>
        <w:ind w:firstLine="480" w:firstLineChars="200"/>
        <w:rPr>
          <w:rFonts w:hAnsi="宋体" w:cs="宋体"/>
          <w:color w:val="000000" w:themeColor="text1"/>
          <w:sz w:val="24"/>
          <w:szCs w:val="28"/>
          <w:highlight w:val="none"/>
          <w14:textFill>
            <w14:solidFill>
              <w14:schemeClr w14:val="tx1"/>
            </w14:solidFill>
          </w14:textFill>
        </w:rPr>
      </w:pPr>
      <w:r>
        <w:rPr>
          <w:rFonts w:hint="eastAsia" w:hAnsi="宋体" w:cs="宋体"/>
          <w:color w:val="000000" w:themeColor="text1"/>
          <w:sz w:val="24"/>
          <w:szCs w:val="28"/>
          <w:highlight w:val="none"/>
          <w14:textFill>
            <w14:solidFill>
              <w14:schemeClr w14:val="tx1"/>
            </w14:solidFill>
          </w14:textFill>
        </w:rPr>
        <w:t>（三）投标人的风险</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投标人没有按照竞争性比选文件要求提供全部资料，或者投标人没有对竞争性比选文件在各方面作出实质性响应，可能导致投标被拒绝或评定为无效投标。</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（四）法律责任</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投标人违反《中华人民共和国政府采购法》、《中华人民共和国政府采购实施条例》等相关规定，将按规定追究投标人法律责任。</w:t>
      </w:r>
    </w:p>
    <w:p>
      <w:pPr>
        <w:pStyle w:val="3"/>
        <w:rPr>
          <w:rFonts w:ascii="宋体" w:hAnsi="宋体" w:cs="宋体"/>
          <w:color w:val="000000" w:themeColor="text1"/>
          <w:highlight w:val="none"/>
          <w14:textFill>
            <w14:solidFill>
              <w14:schemeClr w14:val="tx1"/>
            </w14:solidFill>
          </w14:textFill>
        </w:rPr>
      </w:pPr>
      <w:bookmarkStart w:id="66" w:name="_Toc98942898"/>
      <w:bookmarkStart w:id="67" w:name="_Toc21425662"/>
      <w:r>
        <w:rPr>
          <w:rFonts w:hint="eastAsia" w:ascii="宋体" w:hAnsi="宋体" w:cs="宋体"/>
          <w:color w:val="000000" w:themeColor="text1"/>
          <w:highlight w:val="none"/>
          <w14:textFill>
            <w14:solidFill>
              <w14:schemeClr w14:val="tx1"/>
            </w14:solidFill>
          </w14:textFill>
        </w:rPr>
        <w:t>二、</w:t>
      </w:r>
      <w:bookmarkEnd w:id="66"/>
      <w:bookmarkEnd w:id="67"/>
      <w:r>
        <w:rPr>
          <w:rFonts w:hint="eastAsia" w:ascii="宋体" w:hAnsi="宋体" w:cs="宋体"/>
          <w:color w:val="000000" w:themeColor="text1"/>
          <w:highlight w:val="none"/>
          <w14:textFill>
            <w14:solidFill>
              <w14:schemeClr w14:val="tx1"/>
            </w14:solidFill>
          </w14:textFill>
        </w:rPr>
        <w:t>竞争性比选文件</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竞争性比选文件是投标人编制响应文件的依据，是评标委员会评判依据和标准。竞争性比选文件也是采购人与中标人签订合同的基础。</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（一）竞争性比选文件由投标邀请书；项目技术规格、数量及质量要求；商务条款；投标人须知；评标方法、评标标准、无效投标条款和废标条款；响应文件格式等部分组成。</w:t>
      </w:r>
    </w:p>
    <w:p>
      <w:pPr>
        <w:snapToGrid w:val="0"/>
        <w:spacing w:line="400" w:lineRule="exact"/>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szCs w:val="28"/>
          <w:highlight w:val="none"/>
          <w14:textFill>
            <w14:solidFill>
              <w14:schemeClr w14:val="tx1"/>
            </w14:solidFill>
          </w14:textFill>
        </w:rPr>
        <w:t>（二）</w:t>
      </w:r>
      <w:r>
        <w:rPr>
          <w:rFonts w:hint="eastAsia" w:hAnsi="宋体" w:cs="宋体"/>
          <w:color w:val="000000" w:themeColor="text1"/>
          <w:sz w:val="24"/>
          <w:highlight w:val="none"/>
          <w14:textFill>
            <w14:solidFill>
              <w14:schemeClr w14:val="tx1"/>
            </w14:solidFill>
          </w14:textFill>
        </w:rPr>
        <w:t>采购人对竞争性比选文件所作的一切有效的书面通知、修改及补充，都是竞争性比选文件不可分割的部分。</w:t>
      </w:r>
    </w:p>
    <w:p>
      <w:pPr>
        <w:snapToGrid w:val="0"/>
        <w:spacing w:line="400" w:lineRule="exact"/>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（三）</w:t>
      </w:r>
      <w:r>
        <w:rPr>
          <w:rFonts w:hint="eastAsia" w:hAnsi="宋体" w:cs="宋体"/>
          <w:color w:val="000000" w:themeColor="text1"/>
          <w:sz w:val="24"/>
          <w:szCs w:val="24"/>
          <w:highlight w:val="none"/>
          <w14:textFill>
            <w14:solidFill>
              <w14:schemeClr w14:val="tx1"/>
            </w14:solidFill>
          </w14:textFill>
        </w:rPr>
        <w:t>本项目的竞争性比选文件、补遗文件（如果有）一律在重庆医科大学附属口腔医院官网、行采家、中国采购招标网上发布，请各投标人注意下载领取；无论投标人下载或领取与否，均视同投标人已知晓本项目竞争性比选文件、补遗文件的内容。</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（四）采购人对已发出的竞争性比选文件需要进行澄清或修改的，应以书面形式或公告形式通知所有竞争性比选文件收受人。该澄清或者修改的内容为竞争性比选文件的组成部分。</w:t>
      </w:r>
    </w:p>
    <w:p>
      <w:pPr>
        <w:pStyle w:val="3"/>
        <w:rPr>
          <w:rFonts w:ascii="宋体" w:hAnsi="宋体" w:cs="宋体"/>
          <w:color w:val="000000" w:themeColor="text1"/>
          <w:highlight w:val="none"/>
          <w14:textFill>
            <w14:solidFill>
              <w14:schemeClr w14:val="tx1"/>
            </w14:solidFill>
          </w14:textFill>
        </w:rPr>
      </w:pPr>
      <w:bookmarkStart w:id="68" w:name="_Toc21425663"/>
      <w:bookmarkStart w:id="69" w:name="_Toc98942899"/>
      <w:r>
        <w:rPr>
          <w:rFonts w:hint="eastAsia" w:ascii="宋体" w:hAnsi="宋体" w:cs="宋体"/>
          <w:color w:val="000000" w:themeColor="text1"/>
          <w:highlight w:val="none"/>
          <w14:textFill>
            <w14:solidFill>
              <w14:schemeClr w14:val="tx1"/>
            </w14:solidFill>
          </w14:textFill>
        </w:rPr>
        <w:t>三、</w:t>
      </w:r>
      <w:bookmarkEnd w:id="68"/>
      <w:bookmarkEnd w:id="69"/>
      <w:r>
        <w:rPr>
          <w:rFonts w:hint="eastAsia" w:ascii="宋体" w:hAnsi="宋体" w:cs="宋体"/>
          <w:color w:val="000000" w:themeColor="text1"/>
          <w:highlight w:val="none"/>
          <w14:textFill>
            <w14:solidFill>
              <w14:schemeClr w14:val="tx1"/>
            </w14:solidFill>
          </w14:textFill>
        </w:rPr>
        <w:t>响应文件</w:t>
      </w:r>
    </w:p>
    <w:p>
      <w:pPr>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投标人应当按照竞争性比选文件的要求编制响应文件，并对竞争性比选文件提出的要求和条件作出实质性响应，</w:t>
      </w:r>
      <w:r>
        <w:rPr>
          <w:rFonts w:hint="eastAsia" w:hAnsi="宋体" w:cs="宋体"/>
          <w:color w:val="000000" w:themeColor="text1"/>
          <w:highlight w:val="none"/>
          <w14:textFill>
            <w14:solidFill>
              <w14:schemeClr w14:val="tx1"/>
            </w14:solidFill>
          </w14:textFill>
        </w:rPr>
        <w:t>响应文件原则上采用软面胶装（不得采用穿孔式、文件夹式活页装订），同时应编制完整的封面、页码、目录。</w:t>
      </w:r>
    </w:p>
    <w:p>
      <w:pPr>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（一）响应文件组成</w:t>
      </w:r>
    </w:p>
    <w:p>
      <w:pPr>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响应文件由第六篇“响应文件格式”规定的部分和投标人所作的一切有效补充、修改和承诺等文件组成，投标人应按照第六篇“响应文件格式”规定的目录顺序组织编写和装订，否则有可能影响评委对响应文件的评审。</w:t>
      </w:r>
    </w:p>
    <w:p>
      <w:pPr>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（二）投标有效期</w:t>
      </w:r>
    </w:p>
    <w:p>
      <w:pPr>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投标有效期为投标截止日期起九十天内。</w:t>
      </w:r>
    </w:p>
    <w:p>
      <w:pPr>
        <w:snapToGrid w:val="0"/>
        <w:spacing w:line="400" w:lineRule="exact"/>
        <w:ind w:firstLine="470" w:firstLineChars="196"/>
        <w:jc w:val="left"/>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（四）响应文件的份数和签署</w:t>
      </w:r>
    </w:p>
    <w:p>
      <w:pPr>
        <w:tabs>
          <w:tab w:val="left" w:pos="0"/>
        </w:tabs>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1.响应文件一式二份，其中正本一份，副本一份。每套纸质响应文件须在封面清楚地标明“正本”、“副本”，副本应为正本的完整复印件，副本与正本不一致时以正本为准。</w:t>
      </w:r>
    </w:p>
    <w:p>
      <w:pPr>
        <w:tabs>
          <w:tab w:val="left" w:pos="0"/>
        </w:tabs>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2.在响应文件正本中，竞争性比选文件第六篇响应文件格式中规定签字、盖章的地方必须按其规定签字、盖章。</w:t>
      </w:r>
    </w:p>
    <w:p>
      <w:pPr>
        <w:tabs>
          <w:tab w:val="left" w:pos="0"/>
        </w:tabs>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3.若投标人对响应文件的错处作必要修改，则应在修改处加盖投标人公章或由</w:t>
      </w:r>
      <w:r>
        <w:rPr>
          <w:rFonts w:hint="eastAsia" w:hAnsi="宋体" w:cs="宋体"/>
          <w:color w:val="000000" w:themeColor="text1"/>
          <w:sz w:val="24"/>
          <w:szCs w:val="28"/>
          <w:highlight w:val="none"/>
          <w14:textFill>
            <w14:solidFill>
              <w14:schemeClr w14:val="tx1"/>
            </w14:solidFill>
          </w14:textFill>
        </w:rPr>
        <w:t>法定代表人</w:t>
      </w:r>
      <w:r>
        <w:rPr>
          <w:rFonts w:hint="eastAsia" w:hAnsi="宋体" w:cs="宋体"/>
          <w:color w:val="000000" w:themeColor="text1"/>
          <w:sz w:val="24"/>
          <w:highlight w:val="none"/>
          <w14:textFill>
            <w14:solidFill>
              <w14:schemeClr w14:val="tx1"/>
            </w14:solidFill>
          </w14:textFill>
        </w:rPr>
        <w:t>或</w:t>
      </w:r>
      <w:r>
        <w:rPr>
          <w:rFonts w:hint="eastAsia" w:hAnsi="宋体" w:cs="宋体"/>
          <w:color w:val="000000" w:themeColor="text1"/>
          <w:sz w:val="24"/>
          <w:szCs w:val="28"/>
          <w:highlight w:val="none"/>
          <w14:textFill>
            <w14:solidFill>
              <w14:schemeClr w14:val="tx1"/>
            </w14:solidFill>
          </w14:textFill>
        </w:rPr>
        <w:t>法定代表人</w:t>
      </w:r>
      <w:r>
        <w:rPr>
          <w:rFonts w:hint="eastAsia" w:hAnsi="宋体" w:cs="宋体"/>
          <w:color w:val="000000" w:themeColor="text1"/>
          <w:sz w:val="24"/>
          <w:highlight w:val="none"/>
          <w14:textFill>
            <w14:solidFill>
              <w14:schemeClr w14:val="tx1"/>
            </w14:solidFill>
          </w14:textFill>
        </w:rPr>
        <w:t>授权代表签字确认。</w:t>
      </w:r>
    </w:p>
    <w:p>
      <w:pPr>
        <w:snapToGrid w:val="0"/>
        <w:spacing w:line="400" w:lineRule="exact"/>
        <w:ind w:firstLine="470" w:firstLineChars="196"/>
        <w:jc w:val="left"/>
        <w:rPr>
          <w:rFonts w:hAnsi="宋体" w:cs="宋体"/>
          <w:bCs/>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4.电报、电话、传真形式的响应文件概不接受。</w:t>
      </w:r>
    </w:p>
    <w:p>
      <w:pPr>
        <w:snapToGrid w:val="0"/>
        <w:spacing w:line="400" w:lineRule="exact"/>
        <w:ind w:firstLine="470" w:firstLineChars="196"/>
        <w:jc w:val="left"/>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（五）投标报价</w:t>
      </w:r>
    </w:p>
    <w:p>
      <w:pPr>
        <w:snapToGrid w:val="0"/>
        <w:spacing w:line="400" w:lineRule="exact"/>
        <w:ind w:firstLine="470" w:firstLineChars="196"/>
        <w:jc w:val="left"/>
        <w:rPr>
          <w:rFonts w:hAnsi="宋体" w:cs="宋体"/>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1.投标人应严格按照“响应文件格式”中“采购项目一览表”和“分项报价明细表”</w:t>
      </w:r>
      <w:r>
        <w:rPr>
          <w:rFonts w:hint="eastAsia" w:hAnsi="宋体" w:cs="宋体"/>
          <w:color w:val="000000" w:themeColor="text1"/>
          <w:sz w:val="24"/>
          <w:highlight w:val="none"/>
          <w14:textFill>
            <w14:solidFill>
              <w14:schemeClr w14:val="tx1"/>
            </w14:solidFill>
          </w14:textFill>
        </w:rPr>
        <w:t>的格式填写报价。</w:t>
      </w:r>
    </w:p>
    <w:p>
      <w:pPr>
        <w:snapToGrid w:val="0"/>
        <w:spacing w:line="400" w:lineRule="exact"/>
        <w:ind w:left="3" w:leftChars="1"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2.投标人的报价为一次性报价，即在投标有效期内投标价格固定不变。</w:t>
      </w:r>
    </w:p>
    <w:p>
      <w:pPr>
        <w:snapToGrid w:val="0"/>
        <w:spacing w:line="400" w:lineRule="exact"/>
        <w:ind w:left="3" w:leftChars="1"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3.本项目只接受一个投标报价，有选择的或有条件的报价将不予接受。</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（六）修正错误</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若响应文件出现计算或表达上的错误，修正错误的原则如下：</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1.响应文件中采购项目一览表（报价表）内容与响应文件中相应内容不一致的，以采购项目一览表（报价表）为准；</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2.大写金额和小写金额不一致的，以大写金额为准；</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3.单价金额小数点或者百分比有明显错位的，以采购项目一览表的总价为准，并修改单价；</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4.总价金额与按单价汇总金额不一致的，以两者中较小的为准。</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（七）响应文件的递交</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1.响应文件的密封与标记</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响应文件的正本、副本以均应密封送达投标地点，应在封套上注明项目名称、投标人名称。若正本、副本分别进行密封的，还应在封套上注明“正本”、“副本”字样。</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2.如果响应文件通过邮寄递交，投标人应将响应文件用内、外两层封套密封。</w:t>
      </w:r>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3.如果未按上述规定进行密封和标记，采购代理机构对响应文件误投、丢失或提前拆封不负责任。</w:t>
      </w:r>
    </w:p>
    <w:p>
      <w:pPr>
        <w:pStyle w:val="3"/>
        <w:rPr>
          <w:rFonts w:ascii="宋体" w:hAnsi="宋体" w:cs="宋体"/>
          <w:color w:val="000000" w:themeColor="text1"/>
          <w:highlight w:val="none"/>
          <w14:textFill>
            <w14:solidFill>
              <w14:schemeClr w14:val="tx1"/>
            </w14:solidFill>
          </w14:textFill>
        </w:rPr>
      </w:pPr>
      <w:bookmarkStart w:id="70" w:name="_Toc98942900"/>
      <w:bookmarkStart w:id="71" w:name="_Toc21425665"/>
      <w:r>
        <w:rPr>
          <w:rFonts w:hint="eastAsia" w:ascii="宋体" w:hAnsi="宋体" w:cs="宋体"/>
          <w:color w:val="000000" w:themeColor="text1"/>
          <w:highlight w:val="none"/>
          <w14:textFill>
            <w14:solidFill>
              <w14:schemeClr w14:val="tx1"/>
            </w14:solidFill>
          </w14:textFill>
        </w:rPr>
        <w:t>四、评标</w:t>
      </w:r>
      <w:bookmarkEnd w:id="70"/>
      <w:bookmarkEnd w:id="71"/>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见第四篇“评标”内容。</w:t>
      </w:r>
    </w:p>
    <w:p>
      <w:pPr>
        <w:pStyle w:val="3"/>
        <w:rPr>
          <w:rFonts w:ascii="宋体" w:hAnsi="宋体" w:cs="宋体"/>
          <w:color w:val="000000" w:themeColor="text1"/>
          <w:highlight w:val="none"/>
          <w14:textFill>
            <w14:solidFill>
              <w14:schemeClr w14:val="tx1"/>
            </w14:solidFill>
          </w14:textFill>
        </w:rPr>
      </w:pPr>
      <w:bookmarkStart w:id="72" w:name="_Toc98942901"/>
      <w:bookmarkStart w:id="73" w:name="_Toc21425666"/>
      <w:r>
        <w:rPr>
          <w:rFonts w:hint="eastAsia" w:ascii="宋体" w:hAnsi="宋体" w:cs="宋体"/>
          <w:color w:val="000000" w:themeColor="text1"/>
          <w:highlight w:val="none"/>
          <w14:textFill>
            <w14:solidFill>
              <w14:schemeClr w14:val="tx1"/>
            </w14:solidFill>
          </w14:textFill>
        </w:rPr>
        <w:t>五、定标</w:t>
      </w:r>
      <w:bookmarkEnd w:id="72"/>
      <w:bookmarkEnd w:id="73"/>
    </w:p>
    <w:p>
      <w:pPr>
        <w:pStyle w:val="8"/>
        <w:spacing w:line="400" w:lineRule="exact"/>
        <w:ind w:firstLine="480" w:firstLineChars="200"/>
        <w:rPr>
          <w:rFonts w:hAnsi="宋体" w:cs="宋体"/>
          <w:color w:val="000000" w:themeColor="text1"/>
          <w:sz w:val="24"/>
          <w:highlight w:val="none"/>
          <w14:textFill>
            <w14:solidFill>
              <w14:schemeClr w14:val="tx1"/>
            </w14:solidFill>
          </w14:textFill>
        </w:rPr>
      </w:pPr>
      <w:bookmarkStart w:id="74" w:name="_Toc21425668"/>
      <w:r>
        <w:rPr>
          <w:rFonts w:hint="eastAsia" w:hAnsi="宋体" w:cs="宋体"/>
          <w:color w:val="000000" w:themeColor="text1"/>
          <w:sz w:val="24"/>
          <w:highlight w:val="none"/>
          <w14:textFill>
            <w14:solidFill>
              <w14:schemeClr w14:val="tx1"/>
            </w14:solidFill>
          </w14:textFill>
        </w:rPr>
        <w:t>根据投标书提供的资格文件、投标报价书、优惠条件等多方面因素进行全面比较，综合优势领先者中标。比较结束后，招标方仅对中标者发出通知。招标方有权对落标者不做落标说明和解释。</w:t>
      </w:r>
    </w:p>
    <w:p>
      <w:pPr>
        <w:pStyle w:val="3"/>
        <w:rPr>
          <w:rFonts w:ascii="宋体" w:hAnsi="宋体" w:cs="宋体"/>
          <w:color w:val="000000" w:themeColor="text1"/>
          <w:highlight w:val="none"/>
          <w14:textFill>
            <w14:solidFill>
              <w14:schemeClr w14:val="tx1"/>
            </w14:solidFill>
          </w14:textFill>
        </w:rPr>
      </w:pPr>
      <w:bookmarkStart w:id="75" w:name="_Toc98942902"/>
      <w:r>
        <w:rPr>
          <w:rFonts w:hint="eastAsia" w:ascii="宋体" w:hAnsi="宋体" w:cs="宋体"/>
          <w:color w:val="000000" w:themeColor="text1"/>
          <w:highlight w:val="none"/>
          <w14:textFill>
            <w14:solidFill>
              <w14:schemeClr w14:val="tx1"/>
            </w14:solidFill>
          </w14:textFill>
        </w:rPr>
        <w:t>六、询问、质疑和投诉</w:t>
      </w:r>
      <w:bookmarkEnd w:id="74"/>
      <w:bookmarkEnd w:id="75"/>
    </w:p>
    <w:p>
      <w:pPr>
        <w:spacing w:line="400" w:lineRule="exact"/>
        <w:ind w:right="12"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（一）询问</w:t>
      </w:r>
    </w:p>
    <w:p>
      <w:pPr>
        <w:spacing w:line="400" w:lineRule="exact"/>
        <w:ind w:right="12"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采购人应当在3个工作日内对投标人依法提出的询问作出答复。投标人询问可以是口头或书面形式。</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（二）质疑</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投标人认为采购文件、采购过程和中标结果使自己的权益受到伤害的，可向采购人以书面形式提出质疑。</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提出质疑的应当是参与所质疑项目采购活动的投标人。 </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（三）投诉</w:t>
      </w:r>
    </w:p>
    <w:p>
      <w:pPr>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1.投标人对采购人的答复不满意，或者采购人未在规定时间内作出答复的，可以在答复期满后15个工作日内按照相关法律法规向财政部门提起投诉。</w:t>
      </w:r>
    </w:p>
    <w:p>
      <w:pPr>
        <w:pStyle w:val="3"/>
        <w:rPr>
          <w:rFonts w:ascii="宋体" w:hAnsi="宋体" w:cs="宋体"/>
          <w:color w:val="000000" w:themeColor="text1"/>
          <w:highlight w:val="none"/>
          <w14:textFill>
            <w14:solidFill>
              <w14:schemeClr w14:val="tx1"/>
            </w14:solidFill>
          </w14:textFill>
        </w:rPr>
      </w:pPr>
      <w:bookmarkStart w:id="76" w:name="_Toc98942903"/>
      <w:bookmarkStart w:id="77" w:name="_Toc21425671"/>
      <w:r>
        <w:rPr>
          <w:rFonts w:hint="eastAsia" w:ascii="宋体" w:hAnsi="宋体" w:cs="宋体"/>
          <w:color w:val="000000" w:themeColor="text1"/>
          <w:highlight w:val="none"/>
          <w14:textFill>
            <w14:solidFill>
              <w14:schemeClr w14:val="tx1"/>
            </w14:solidFill>
          </w14:textFill>
        </w:rPr>
        <w:t>七、签订合同</w:t>
      </w:r>
      <w:bookmarkEnd w:id="76"/>
      <w:bookmarkEnd w:id="77"/>
    </w:p>
    <w:p>
      <w:pPr>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（一）中标人应当自接到采购人中标电话通知后</w:t>
      </w:r>
      <w:r>
        <w:rPr>
          <w:rFonts w:hint="eastAsia" w:hAnsi="宋体" w:cs="宋体"/>
          <w:b/>
          <w:bCs/>
          <w:color w:val="000000" w:themeColor="text1"/>
          <w:sz w:val="24"/>
          <w:highlight w:val="none"/>
          <w14:textFill>
            <w14:solidFill>
              <w14:schemeClr w14:val="tx1"/>
            </w14:solidFill>
          </w14:textFill>
        </w:rPr>
        <w:t>三十日</w:t>
      </w:r>
      <w:r>
        <w:rPr>
          <w:rFonts w:hint="eastAsia" w:hAnsi="宋体" w:cs="宋体"/>
          <w:color w:val="000000" w:themeColor="text1"/>
          <w:sz w:val="24"/>
          <w:highlight w:val="none"/>
          <w14:textFill>
            <w14:solidFill>
              <w14:schemeClr w14:val="tx1"/>
            </w14:solidFill>
          </w14:textFill>
        </w:rPr>
        <w:t>内，按照竞争性比选文件和中标人响应文件的约定，与采购人签订书面合同。所签订的合同不得对竞争性比选文件和中标人响应文件作实质性修改。</w:t>
      </w:r>
    </w:p>
    <w:p>
      <w:pPr>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（二）竞争性比选文件、中标人的响应文件及澄清文件等，均为签订采购合同的依据。</w:t>
      </w:r>
    </w:p>
    <w:p>
      <w:pPr>
        <w:rPr>
          <w:rFonts w:hAnsi="宋体" w:cs="宋体"/>
          <w:color w:val="000000" w:themeColor="text1"/>
          <w:sz w:val="32"/>
          <w:szCs w:val="32"/>
          <w:highlight w:val="none"/>
          <w14:textFill>
            <w14:solidFill>
              <w14:schemeClr w14:val="tx1"/>
            </w14:solidFill>
          </w14:textFill>
        </w:rPr>
      </w:pPr>
      <w:bookmarkStart w:id="78" w:name="_Toc509321006"/>
      <w:bookmarkStart w:id="79" w:name="_Toc19113860"/>
    </w:p>
    <w:p>
      <w:pPr>
        <w:rPr>
          <w:rFonts w:hAnsi="宋体" w:cs="宋体"/>
          <w:color w:val="000000" w:themeColor="text1"/>
          <w:sz w:val="32"/>
          <w:szCs w:val="32"/>
          <w:highlight w:val="none"/>
          <w14:textFill>
            <w14:solidFill>
              <w14:schemeClr w14:val="tx1"/>
            </w14:solidFill>
          </w14:textFill>
        </w:rPr>
      </w:pPr>
    </w:p>
    <w:p>
      <w:pPr>
        <w:rPr>
          <w:rFonts w:hAnsi="宋体" w:cs="宋体"/>
          <w:color w:val="000000" w:themeColor="text1"/>
          <w:sz w:val="32"/>
          <w:szCs w:val="32"/>
          <w:highlight w:val="none"/>
          <w14:textFill>
            <w14:solidFill>
              <w14:schemeClr w14:val="tx1"/>
            </w14:solidFill>
          </w14:textFill>
        </w:rPr>
      </w:pPr>
    </w:p>
    <w:p>
      <w:pPr>
        <w:rPr>
          <w:rFonts w:hAnsi="宋体" w:cs="宋体"/>
          <w:color w:val="000000" w:themeColor="text1"/>
          <w:sz w:val="32"/>
          <w:szCs w:val="32"/>
          <w:highlight w:val="none"/>
          <w14:textFill>
            <w14:solidFill>
              <w14:schemeClr w14:val="tx1"/>
            </w14:solidFill>
          </w14:textFill>
        </w:rPr>
      </w:pPr>
      <w:r>
        <w:rPr>
          <w:rFonts w:hAnsi="宋体" w:cs="宋体"/>
          <w:color w:val="000000" w:themeColor="text1"/>
          <w:sz w:val="32"/>
          <w:szCs w:val="32"/>
          <w:highlight w:val="none"/>
          <w14:textFill>
            <w14:solidFill>
              <w14:schemeClr w14:val="tx1"/>
            </w14:solidFill>
          </w14:textFill>
        </w:rPr>
        <w:br w:type="page"/>
      </w:r>
    </w:p>
    <w:p>
      <w:pPr>
        <w:pStyle w:val="2"/>
        <w:spacing w:line="360" w:lineRule="auto"/>
        <w:rPr>
          <w:rFonts w:ascii="宋体" w:hAnsi="宋体" w:eastAsia="宋体" w:cs="宋体"/>
          <w:color w:val="000000" w:themeColor="text1"/>
          <w:highlight w:val="none"/>
          <w14:textFill>
            <w14:solidFill>
              <w14:schemeClr w14:val="tx1"/>
            </w14:solidFill>
          </w14:textFill>
        </w:rPr>
      </w:pPr>
      <w:bookmarkStart w:id="80" w:name="_Toc98942904"/>
      <w:r>
        <w:rPr>
          <w:rFonts w:hint="eastAsia" w:ascii="宋体" w:hAnsi="宋体" w:eastAsia="宋体" w:cs="宋体"/>
          <w:color w:val="000000" w:themeColor="text1"/>
          <w:highlight w:val="none"/>
          <w14:textFill>
            <w14:solidFill>
              <w14:schemeClr w14:val="tx1"/>
            </w14:solidFill>
          </w14:textFill>
        </w:rPr>
        <w:t>第六篇 响应文件格式</w:t>
      </w:r>
      <w:bookmarkEnd w:id="78"/>
      <w:r>
        <w:rPr>
          <w:rFonts w:hint="eastAsia" w:ascii="宋体" w:hAnsi="宋体" w:eastAsia="宋体" w:cs="宋体"/>
          <w:color w:val="000000" w:themeColor="text1"/>
          <w:highlight w:val="none"/>
          <w14:textFill>
            <w14:solidFill>
              <w14:schemeClr w14:val="tx1"/>
            </w14:solidFill>
          </w14:textFill>
        </w:rPr>
        <w:t>要求</w:t>
      </w:r>
      <w:bookmarkEnd w:id="79"/>
      <w:bookmarkEnd w:id="80"/>
    </w:p>
    <w:p>
      <w:pPr>
        <w:ind w:firstLine="560"/>
        <w:jc w:val="center"/>
        <w:rPr>
          <w:color w:val="000000" w:themeColor="text1"/>
          <w:highlight w:val="none"/>
          <w14:textFill>
            <w14:solidFill>
              <w14:schemeClr w14:val="tx1"/>
            </w14:solidFill>
          </w14:textFill>
        </w:rPr>
      </w:pPr>
    </w:p>
    <w:p>
      <w:pPr>
        <w:ind w:firstLine="56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封  面</w:t>
      </w:r>
    </w:p>
    <w:p>
      <w:pPr>
        <w:ind w:firstLine="560"/>
        <w:rPr>
          <w:color w:val="000000" w:themeColor="text1"/>
          <w:highlight w:val="none"/>
          <w14:textFill>
            <w14:solidFill>
              <w14:schemeClr w14:val="tx1"/>
            </w14:solidFill>
          </w14:textFill>
        </w:rPr>
      </w:pPr>
    </w:p>
    <w:p>
      <w:pPr>
        <w:jc w:val="center"/>
        <w:rPr>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重庆医科大学附属口腔医院</w:t>
      </w:r>
    </w:p>
    <w:p>
      <w:pPr>
        <w:jc w:val="left"/>
        <w:rPr>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项目名称：</w:t>
      </w:r>
    </w:p>
    <w:p>
      <w:pPr>
        <w:jc w:val="left"/>
        <w:rPr>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项目编号：</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（正本/副本）</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jc w:val="center"/>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响</w:t>
      </w:r>
    </w:p>
    <w:p>
      <w:pPr>
        <w:jc w:val="center"/>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应</w:t>
      </w:r>
    </w:p>
    <w:p>
      <w:pPr>
        <w:jc w:val="center"/>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文</w:t>
      </w:r>
    </w:p>
    <w:p>
      <w:pPr>
        <w:jc w:val="center"/>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件</w:t>
      </w:r>
    </w:p>
    <w:p>
      <w:pPr>
        <w:ind w:firstLine="560"/>
        <w:rPr>
          <w:color w:val="000000" w:themeColor="text1"/>
          <w:highlight w:val="none"/>
          <w14:textFill>
            <w14:solidFill>
              <w14:schemeClr w14:val="tx1"/>
            </w14:solidFill>
          </w14:textFill>
        </w:rPr>
      </w:pPr>
    </w:p>
    <w:p>
      <w:pPr>
        <w:ind w:firstLine="560"/>
        <w:rPr>
          <w:color w:val="000000" w:themeColor="text1"/>
          <w:highlight w:val="none"/>
          <w14:textFill>
            <w14:solidFill>
              <w14:schemeClr w14:val="tx1"/>
            </w14:solidFill>
          </w14:textFill>
        </w:rPr>
      </w:pPr>
    </w:p>
    <w:p>
      <w:pPr>
        <w:spacing w:line="360" w:lineRule="auto"/>
        <w:ind w:firstLine="5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投标人（盖章）：</w:t>
      </w:r>
    </w:p>
    <w:p>
      <w:pPr>
        <w:spacing w:line="360" w:lineRule="auto"/>
        <w:ind w:firstLine="5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p>
    <w:p>
      <w:pPr>
        <w:spacing w:line="360" w:lineRule="auto"/>
        <w:ind w:firstLine="5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p>
    <w:p>
      <w:pPr>
        <w:ind w:firstLine="5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投标人地址：</w:t>
      </w:r>
    </w:p>
    <w:p>
      <w:pPr>
        <w:rPr>
          <w:rFonts w:hAnsi="宋体" w:cs="宋体"/>
          <w:color w:val="000000" w:themeColor="text1"/>
          <w:highlight w:val="none"/>
          <w14:textFill>
            <w14:solidFill>
              <w14:schemeClr w14:val="tx1"/>
            </w14:solidFill>
          </w14:textFill>
        </w:rPr>
      </w:pPr>
    </w:p>
    <w:p>
      <w:pPr>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（注：档案袋封面格式同此格式）</w:t>
      </w:r>
    </w:p>
    <w:p>
      <w:pPr>
        <w:rPr>
          <w:color w:val="000000" w:themeColor="text1"/>
          <w:highlight w:val="none"/>
          <w14:textFill>
            <w14:solidFill>
              <w14:schemeClr w14:val="tx1"/>
            </w14:solidFill>
          </w14:textFill>
        </w:rPr>
      </w:pPr>
    </w:p>
    <w:p>
      <w:pPr>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br w:type="page"/>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一、经济文件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（一）采购项目一览表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（二）分项报价明细表</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二、技术文件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（一）技术条款差异表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（二）技术条款相关支撑资料（自附）</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三、商务文件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（一）投标函（格式）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（二）商务条款差异表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（三）商务条款相关支撑资料（自附）</w:t>
      </w:r>
    </w:p>
    <w:p>
      <w:pPr>
        <w:tabs>
          <w:tab w:val="left" w:pos="1764"/>
        </w:tabs>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四、其他</w:t>
      </w:r>
    </w:p>
    <w:p>
      <w:pPr>
        <w:tabs>
          <w:tab w:val="left" w:pos="6300"/>
        </w:tabs>
        <w:snapToGrid w:val="0"/>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（一）其他与项目有关的资料（自附）</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五、资格文件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（一）营业执照（副本）或事业单位法人证书（副本）复印件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（二）法定代表人身份证明书（格式）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（三）法定代表人授权委托书（格式）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bookmarkStart w:id="81" w:name="_Toc429584884"/>
      <w:bookmarkStart w:id="82" w:name="_Toc19113861"/>
      <w:bookmarkStart w:id="83" w:name="_Toc509321007"/>
      <w:r>
        <w:rPr>
          <w:rFonts w:hint="eastAsia" w:hAnsi="宋体" w:cs="宋体"/>
          <w:color w:val="000000" w:themeColor="text1"/>
          <w:sz w:val="24"/>
          <w:szCs w:val="24"/>
          <w:highlight w:val="none"/>
          <w14:textFill>
            <w14:solidFill>
              <w14:schemeClr w14:val="tx1"/>
            </w14:solidFill>
          </w14:textFill>
        </w:rPr>
        <w:t>（四）书面声明（格式）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（五）特定资格条件证书或证明文件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rPr>
          <w:color w:val="000000" w:themeColor="text1"/>
          <w:szCs w:val="28"/>
          <w:highlight w:val="none"/>
          <w14:textFill>
            <w14:solidFill>
              <w14:schemeClr w14:val="tx1"/>
            </w14:solidFill>
          </w14:textFill>
        </w:rPr>
      </w:pPr>
      <w:bookmarkStart w:id="84" w:name="_Toc98942905"/>
      <w:r>
        <w:rPr>
          <w:rFonts w:hint="eastAsia"/>
          <w:color w:val="000000" w:themeColor="text1"/>
          <w:szCs w:val="28"/>
          <w:highlight w:val="none"/>
          <w14:textFill>
            <w14:solidFill>
              <w14:schemeClr w14:val="tx1"/>
            </w14:solidFill>
          </w14:textFill>
        </w:rPr>
        <w:br w:type="page"/>
      </w:r>
    </w:p>
    <w:p>
      <w:pPr>
        <w:pStyle w:val="3"/>
        <w:rPr>
          <w:color w:val="000000" w:themeColor="text1"/>
          <w:szCs w:val="28"/>
          <w:highlight w:val="none"/>
          <w14:textFill>
            <w14:solidFill>
              <w14:schemeClr w14:val="tx1"/>
            </w14:solidFill>
          </w14:textFill>
        </w:rPr>
      </w:pPr>
      <w:r>
        <w:rPr>
          <w:rFonts w:hint="eastAsia"/>
          <w:color w:val="000000" w:themeColor="text1"/>
          <w:szCs w:val="28"/>
          <w:highlight w:val="none"/>
          <w14:textFill>
            <w14:solidFill>
              <w14:schemeClr w14:val="tx1"/>
            </w14:solidFill>
          </w14:textFill>
        </w:rPr>
        <w:t>一、经济文件</w:t>
      </w:r>
      <w:bookmarkEnd w:id="81"/>
      <w:bookmarkEnd w:id="82"/>
      <w:bookmarkEnd w:id="83"/>
      <w:bookmarkEnd w:id="84"/>
    </w:p>
    <w:p>
      <w:pPr>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（一）采购项目一览表</w:t>
      </w:r>
    </w:p>
    <w:p>
      <w:pPr>
        <w:spacing w:line="360" w:lineRule="auto"/>
        <w:ind w:firstLine="280" w:firstLineChars="100"/>
        <w:rPr>
          <w:rFonts w:hAnsi="宋体" w:cs="宋体"/>
          <w:color w:val="000000" w:themeColor="text1"/>
          <w:sz w:val="28"/>
          <w:szCs w:val="28"/>
          <w:highlight w:val="none"/>
          <w14:textFill>
            <w14:solidFill>
              <w14:schemeClr w14:val="tx1"/>
            </w14:solidFill>
          </w14:textFill>
        </w:rPr>
      </w:pPr>
    </w:p>
    <w:p>
      <w:pPr>
        <w:spacing w:line="500" w:lineRule="exact"/>
        <w:ind w:firstLine="280" w:firstLineChars="100"/>
        <w:rPr>
          <w:rFonts w:ascii="方正仿宋_GBK" w:hAnsi="宋体" w:eastAsia="方正仿宋_GBK"/>
          <w:color w:val="000000" w:themeColor="text1"/>
          <w:sz w:val="24"/>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采购项目名称： </w:t>
      </w:r>
    </w:p>
    <w:tbl>
      <w:tblPr>
        <w:tblStyle w:val="16"/>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投标人名称</w:t>
            </w:r>
          </w:p>
        </w:tc>
        <w:tc>
          <w:tcPr>
            <w:tcW w:w="6847" w:type="dxa"/>
            <w:gridSpan w:val="3"/>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项目名称</w:t>
            </w:r>
          </w:p>
        </w:tc>
        <w:tc>
          <w:tcPr>
            <w:tcW w:w="932" w:type="dxa"/>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数量</w:t>
            </w:r>
          </w:p>
        </w:tc>
        <w:tc>
          <w:tcPr>
            <w:tcW w:w="4760" w:type="dxa"/>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方正仿宋_GBK" w:eastAsia="方正仿宋_GBK"/>
                <w:color w:val="000000" w:themeColor="text1"/>
                <w:sz w:val="21"/>
                <w:szCs w:val="28"/>
                <w:highlight w:val="none"/>
                <w14:textFill>
                  <w14:solidFill>
                    <w14:schemeClr w14:val="tx1"/>
                  </w14:solidFill>
                </w14:textFill>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pPr>
              <w:spacing w:line="500" w:lineRule="exact"/>
              <w:rPr>
                <w:rFonts w:ascii="方正仿宋_GBK" w:hAnsi="宋体" w:eastAsia="方正仿宋_GBK"/>
                <w:color w:val="000000" w:themeColor="text1"/>
                <w:sz w:val="21"/>
                <w:szCs w:val="28"/>
                <w:highlight w:val="none"/>
                <w14:textFill>
                  <w14:solidFill>
                    <w14:schemeClr w14:val="tx1"/>
                  </w14:solidFill>
                </w14:textFill>
              </w:rPr>
            </w:pPr>
          </w:p>
        </w:tc>
        <w:tc>
          <w:tcPr>
            <w:tcW w:w="932" w:type="dxa"/>
            <w:tcBorders>
              <w:bottom w:val="single" w:color="auto" w:sz="4" w:space="0"/>
            </w:tcBorders>
          </w:tcPr>
          <w:p>
            <w:pPr>
              <w:spacing w:line="500" w:lineRule="exact"/>
              <w:rPr>
                <w:rFonts w:ascii="方正仿宋_GBK" w:hAnsi="宋体" w:eastAsia="方正仿宋_GBK"/>
                <w:color w:val="000000" w:themeColor="text1"/>
                <w:sz w:val="21"/>
                <w:szCs w:val="28"/>
                <w:highlight w:val="none"/>
                <w14:textFill>
                  <w14:solidFill>
                    <w14:schemeClr w14:val="tx1"/>
                  </w14:solidFill>
                </w14:textFill>
              </w:rPr>
            </w:pPr>
          </w:p>
        </w:tc>
        <w:tc>
          <w:tcPr>
            <w:tcW w:w="4760" w:type="dxa"/>
            <w:tcBorders>
              <w:bottom w:val="single" w:color="auto" w:sz="4" w:space="0"/>
            </w:tcBorders>
          </w:tcPr>
          <w:p>
            <w:pPr>
              <w:spacing w:line="500" w:lineRule="exact"/>
              <w:jc w:val="center"/>
              <w:rPr>
                <w:rFonts w:hint="default" w:ascii="方正仿宋_GBK" w:hAnsi="宋体" w:eastAsia="方正仿宋_GBK"/>
                <w:color w:val="000000" w:themeColor="text1"/>
                <w:sz w:val="21"/>
                <w:szCs w:val="28"/>
                <w:highlight w:val="none"/>
                <w:lang w:val="en-US" w:eastAsia="zh-CN"/>
                <w14:textFill>
                  <w14:solidFill>
                    <w14:schemeClr w14:val="tx1"/>
                  </w14:solidFill>
                </w14:textFill>
              </w:rPr>
            </w:pPr>
            <w:r>
              <w:rPr>
                <w:rFonts w:hint="eastAsia" w:ascii="方正仿宋_GBK" w:hAnsi="宋体" w:eastAsia="方正仿宋_GBK"/>
                <w:color w:val="000000" w:themeColor="text1"/>
                <w:sz w:val="21"/>
                <w:szCs w:val="28"/>
                <w:highlight w:val="none"/>
                <w:u w:val="single"/>
                <w:lang w:val="en-US" w:eastAsia="zh-CN"/>
                <w14:textFill>
                  <w14:solidFill>
                    <w14:schemeClr w14:val="tx1"/>
                  </w14:solidFill>
                </w14:textFill>
              </w:rPr>
              <w:t xml:space="preserve">    </w:t>
            </w:r>
            <w:r>
              <w:rPr>
                <w:rFonts w:hint="eastAsia" w:ascii="方正仿宋_GBK" w:hAnsi="宋体" w:eastAsia="方正仿宋_GBK"/>
                <w:color w:val="000000" w:themeColor="text1"/>
                <w:sz w:val="21"/>
                <w:szCs w:val="28"/>
                <w:highlight w:val="none"/>
                <w:lang w:eastAsia="zh-CN"/>
                <w14:textFill>
                  <w14:solidFill>
                    <w14:schemeClr w14:val="tx1"/>
                  </w14:solidFill>
                </w14:textFill>
              </w:rPr>
              <w:t>元</w:t>
            </w:r>
            <w:r>
              <w:rPr>
                <w:rFonts w:hint="eastAsia" w:ascii="方正仿宋_GBK" w:hAnsi="宋体" w:eastAsia="方正仿宋_GBK"/>
                <w:color w:val="000000" w:themeColor="text1"/>
                <w:sz w:val="21"/>
                <w:szCs w:val="28"/>
                <w:highlight w:val="none"/>
                <w:lang w:val="en-US" w:eastAsia="zh-CN"/>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spacing w:line="560" w:lineRule="exact"/>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pPr>
              <w:rPr>
                <w:color w:val="000000" w:themeColor="text1"/>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备注：</w:t>
            </w:r>
          </w:p>
        </w:tc>
      </w:tr>
    </w:tbl>
    <w:p>
      <w:pPr>
        <w:pStyle w:val="9"/>
        <w:spacing w:line="500" w:lineRule="exact"/>
        <w:ind w:left="8500"/>
        <w:rPr>
          <w:rFonts w:ascii="方正仿宋_GBK" w:hAnsi="宋体" w:eastAsia="方正仿宋_GBK"/>
          <w:color w:val="000000" w:themeColor="text1"/>
          <w:sz w:val="24"/>
          <w:szCs w:val="28"/>
          <w:highlight w:val="none"/>
          <w14:textFill>
            <w14:solidFill>
              <w14:schemeClr w14:val="tx1"/>
            </w14:solidFill>
          </w14:textFill>
        </w:rPr>
      </w:pPr>
    </w:p>
    <w:p>
      <w:pPr>
        <w:rPr>
          <w:rFonts w:ascii="方正仿宋_GBK" w:eastAsia="方正仿宋_GBK"/>
          <w:color w:val="000000" w:themeColor="text1"/>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                        法定代表人或法定代表人授权代表：</w:t>
      </w: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ind w:firstLine="5600" w:firstLineChars="20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说明：</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1.采购项目一览表按格式填列；</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2.采购项目一览表务必填写清楚，准确无误； </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500" w:lineRule="exact"/>
        <w:ind w:firstLine="6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Cs w:val="36"/>
          <w:highlight w:val="none"/>
          <w14:textFill>
            <w14:solidFill>
              <w14:schemeClr w14:val="tx1"/>
            </w14:solidFill>
          </w14:textFill>
        </w:rPr>
        <w:t>（二）分项报价明细表</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采购项目名称：</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单位：元</w:t>
      </w:r>
    </w:p>
    <w:tbl>
      <w:tblPr>
        <w:tblStyle w:val="1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名称</w:t>
            </w:r>
          </w:p>
        </w:tc>
        <w:tc>
          <w:tcPr>
            <w:tcW w:w="247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品牌、规格型号</w:t>
            </w:r>
          </w:p>
        </w:tc>
        <w:tc>
          <w:tcPr>
            <w:tcW w:w="1242"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制造商</w:t>
            </w:r>
          </w:p>
        </w:tc>
        <w:tc>
          <w:tcPr>
            <w:tcW w:w="1242"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原产地</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数量</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单价</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总计</w:t>
            </w:r>
          </w:p>
        </w:tc>
        <w:tc>
          <w:tcPr>
            <w:tcW w:w="7760" w:type="dxa"/>
            <w:gridSpan w:val="6"/>
          </w:tcPr>
          <w:p>
            <w:pPr>
              <w:rPr>
                <w:color w:val="000000" w:themeColor="text1"/>
                <w:highlight w:val="none"/>
                <w14:textFill>
                  <w14:solidFill>
                    <w14:schemeClr w14:val="tx1"/>
                  </w14:solidFill>
                </w14:textFill>
              </w:rPr>
            </w:pPr>
          </w:p>
        </w:tc>
      </w:tr>
    </w:tbl>
    <w:p>
      <w:pPr>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p>
    <w:p>
      <w:pPr>
        <w:spacing w:line="500" w:lineRule="exact"/>
        <w:ind w:firstLine="600" w:firstLineChars="25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投标人：                           法定代表人或法定代表人授权代表：</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（投标人公章）                               （签字或盖章）</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年     月     日</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注：</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1.请投标人完整填写本表；</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2.该表可扩展，并逐页签字或盖章。</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85" w:name="_Toc98942906"/>
      <w:r>
        <w:rPr>
          <w:rFonts w:hint="eastAsia"/>
          <w:color w:val="000000" w:themeColor="text1"/>
          <w:highlight w:val="none"/>
          <w14:textFill>
            <w14:solidFill>
              <w14:schemeClr w14:val="tx1"/>
            </w14:solidFill>
          </w14:textFill>
        </w:rPr>
        <w:t>二、技术文件</w:t>
      </w:r>
      <w:bookmarkEnd w:id="85"/>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（一）技术条款差异表</w:t>
      </w:r>
    </w:p>
    <w:p>
      <w:pPr>
        <w:spacing w:line="360" w:lineRule="auto"/>
        <w:jc w:val="left"/>
        <w:rPr>
          <w:rFonts w:hAnsi="宋体" w:cs="宋体"/>
          <w:color w:val="000000" w:themeColor="text1"/>
          <w:sz w:val="28"/>
          <w:szCs w:val="28"/>
          <w:highlight w:val="none"/>
          <w14:textFill>
            <w14:solidFill>
              <w14:schemeClr w14:val="tx1"/>
            </w14:solidFill>
          </w14:textFill>
        </w:rPr>
      </w:pPr>
      <w:bookmarkStart w:id="86" w:name="_Toc19113862"/>
      <w:r>
        <w:rPr>
          <w:rFonts w:hint="eastAsia" w:hAnsi="宋体" w:cs="宋体"/>
          <w:color w:val="000000" w:themeColor="text1"/>
          <w:sz w:val="28"/>
          <w:szCs w:val="28"/>
          <w:highlight w:val="none"/>
          <w14:textFill>
            <w14:solidFill>
              <w14:schemeClr w14:val="tx1"/>
            </w14:solidFill>
          </w14:textFill>
        </w:rPr>
        <w:t xml:space="preserve">         采购项目名称：</w:t>
      </w:r>
      <w:bookmarkEnd w:id="86"/>
    </w:p>
    <w:tbl>
      <w:tblPr>
        <w:tblStyle w:val="1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87" w:name="_Toc19113863"/>
            <w:r>
              <w:rPr>
                <w:rFonts w:hint="eastAsia" w:hAnsi="宋体" w:cs="宋体"/>
                <w:color w:val="000000" w:themeColor="text1"/>
                <w:sz w:val="28"/>
                <w:szCs w:val="28"/>
                <w:highlight w:val="none"/>
                <w14:textFill>
                  <w14:solidFill>
                    <w14:schemeClr w14:val="tx1"/>
                  </w14:solidFill>
                </w14:textFill>
              </w:rPr>
              <w:t>序号</w:t>
            </w:r>
            <w:bookmarkEnd w:id="87"/>
          </w:p>
        </w:tc>
        <w:tc>
          <w:tcPr>
            <w:tcW w:w="242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88" w:name="_Toc19113864"/>
            <w:r>
              <w:rPr>
                <w:rFonts w:hint="eastAsia" w:hAnsi="宋体" w:cs="宋体"/>
                <w:color w:val="000000" w:themeColor="text1"/>
                <w:sz w:val="28"/>
                <w:szCs w:val="28"/>
                <w:highlight w:val="none"/>
                <w14:textFill>
                  <w14:solidFill>
                    <w14:schemeClr w14:val="tx1"/>
                  </w14:solidFill>
                </w14:textFill>
              </w:rPr>
              <w:t>招标要求</w:t>
            </w:r>
            <w:bookmarkEnd w:id="88"/>
          </w:p>
        </w:tc>
        <w:tc>
          <w:tcPr>
            <w:tcW w:w="2520"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89" w:name="_Toc19113865"/>
            <w:r>
              <w:rPr>
                <w:rFonts w:hint="eastAsia" w:hAnsi="宋体" w:cs="宋体"/>
                <w:color w:val="000000" w:themeColor="text1"/>
                <w:sz w:val="28"/>
                <w:szCs w:val="28"/>
                <w:highlight w:val="none"/>
                <w14:textFill>
                  <w14:solidFill>
                    <w14:schemeClr w14:val="tx1"/>
                  </w14:solidFill>
                </w14:textFill>
              </w:rPr>
              <w:t>投标应答</w:t>
            </w:r>
            <w:bookmarkEnd w:id="89"/>
          </w:p>
        </w:tc>
        <w:tc>
          <w:tcPr>
            <w:tcW w:w="188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0" w:name="_Toc19113866"/>
            <w:r>
              <w:rPr>
                <w:rFonts w:hint="eastAsia" w:hAnsi="宋体" w:cs="宋体"/>
                <w:color w:val="000000" w:themeColor="text1"/>
                <w:sz w:val="28"/>
                <w:szCs w:val="28"/>
                <w:highlight w:val="none"/>
                <w14:textFill>
                  <w14:solidFill>
                    <w14:schemeClr w14:val="tx1"/>
                  </w14:solidFill>
                </w14:textFill>
              </w:rPr>
              <w:t>差异说明</w:t>
            </w:r>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bl>
    <w:p>
      <w:pPr>
        <w:spacing w:line="360" w:lineRule="auto"/>
        <w:ind w:firstLine="700" w:firstLineChars="25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                      法定代表人或法定代表人授权代表：</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ind w:firstLine="700" w:firstLineChars="250"/>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tabs>
          <w:tab w:val="left" w:pos="6300"/>
        </w:tabs>
        <w:snapToGrid w:val="0"/>
        <w:spacing w:line="360" w:lineRule="auto"/>
        <w:ind w:firstLine="570"/>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1.本表即为对本项目“技术要求”中所列技术要求进行比较和响应；</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2.该表必须按照竞争性比选文件要求逐条如实填写，根据投标情况在“差异说明”项填写正偏离或负偏离及原因，完全符合的填写“无差异”；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3.该表可扩展；</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4.可附相关支撑材料。（格式自定）</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5.填写投标产品《配置清单》、《质保期满后更换配件费用》和《耗材清单》，中标后将作为合同附件。若投标产品无下列相关内容，可填无。下列表格可根据实际情况调整。</w:t>
      </w:r>
    </w:p>
    <w:p>
      <w:pPr>
        <w:ind w:right="-153"/>
        <w:rPr>
          <w:color w:val="000000" w:themeColor="text1"/>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配置清单</w:t>
      </w:r>
    </w:p>
    <w:tbl>
      <w:tblPr>
        <w:tblStyle w:val="1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1222"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产品名称</w:t>
            </w:r>
          </w:p>
        </w:tc>
        <w:tc>
          <w:tcPr>
            <w:tcW w:w="1099" w:type="pct"/>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品牌、型号</w:t>
            </w:r>
          </w:p>
        </w:tc>
        <w:tc>
          <w:tcPr>
            <w:tcW w:w="1538"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配置明细</w:t>
            </w:r>
          </w:p>
        </w:tc>
        <w:tc>
          <w:tcPr>
            <w:tcW w:w="390"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数量</w:t>
            </w:r>
          </w:p>
        </w:tc>
        <w:tc>
          <w:tcPr>
            <w:tcW w:w="395" w:type="pct"/>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jc w:val="left"/>
              <w:rPr>
                <w:rFonts w:hAnsi="宋体" w:cs="宋体"/>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tabs>
                <w:tab w:val="center" w:pos="4153"/>
                <w:tab w:val="right" w:pos="8306"/>
              </w:tabs>
              <w:snapToGrid w:val="0"/>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tabs>
                <w:tab w:val="center" w:pos="4153"/>
                <w:tab w:val="right" w:pos="8306"/>
              </w:tabs>
              <w:snapToGrid w:val="0"/>
              <w:rPr>
                <w:color w:val="000000" w:themeColor="text1"/>
                <w:sz w:val="24"/>
                <w:szCs w:val="24"/>
                <w:highlight w:val="none"/>
                <w14:textFill>
                  <w14:solidFill>
                    <w14:schemeClr w14:val="tx1"/>
                  </w14:solidFill>
                </w14:textFill>
              </w:rPr>
            </w:pPr>
          </w:p>
        </w:tc>
        <w:tc>
          <w:tcPr>
            <w:tcW w:w="1538"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tcPr>
          <w:p>
            <w:pPr>
              <w:rPr>
                <w:rFonts w:hAnsi="宋体" w:cs="宋体"/>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bl>
    <w:p>
      <w:pPr>
        <w:ind w:right="-153"/>
        <w:rPr>
          <w:rFonts w:cs="宋体"/>
          <w:color w:val="000000" w:themeColor="text1"/>
          <w:highlight w:val="none"/>
          <w14:textFill>
            <w14:solidFill>
              <w14:schemeClr w14:val="tx1"/>
            </w14:solidFill>
          </w14:textFill>
        </w:rPr>
      </w:pPr>
    </w:p>
    <w:p>
      <w:pPr>
        <w:ind w:right="-153"/>
        <w:rPr>
          <w:rFonts w:cs="宋体"/>
          <w:color w:val="000000" w:themeColor="text1"/>
          <w:highlight w:val="none"/>
          <w14:textFill>
            <w14:solidFill>
              <w14:schemeClr w14:val="tx1"/>
            </w14:solidFill>
          </w14:textFill>
        </w:rPr>
      </w:pPr>
    </w:p>
    <w:p>
      <w:pPr>
        <w:ind w:right="-153"/>
        <w:rPr>
          <w:color w:val="000000" w:themeColor="text1"/>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质保期满后更换配件费用</w:t>
      </w:r>
    </w:p>
    <w:p>
      <w:pPr>
        <w:ind w:right="-153"/>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color w:val="000000" w:themeColor="text1"/>
          <w:sz w:val="24"/>
          <w:szCs w:val="24"/>
          <w:highlight w:val="none"/>
          <w14:textFill>
            <w14:solidFill>
              <w14:schemeClr w14:val="tx1"/>
            </w14:solidFill>
          </w14:textFill>
        </w:rPr>
        <w:t>）</w:t>
      </w:r>
    </w:p>
    <w:tbl>
      <w:tblPr>
        <w:tblStyle w:val="16"/>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单价（元）</w:t>
            </w:r>
          </w:p>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(含税)</w:t>
            </w:r>
          </w:p>
        </w:tc>
        <w:tc>
          <w:tcPr>
            <w:tcW w:w="915" w:type="pct"/>
            <w:tcBorders>
              <w:top w:val="single" w:color="000000" w:sz="4" w:space="0"/>
              <w:left w:val="single" w:color="000000" w:sz="4" w:space="0"/>
              <w:bottom w:val="single" w:color="000000" w:sz="4" w:space="0"/>
              <w:right w:val="single" w:color="000000" w:sz="4" w:space="0"/>
            </w:tcBorders>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w:t>
            </w:r>
          </w:p>
        </w:tc>
      </w:tr>
      <w:tr>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bl>
    <w:p>
      <w:pPr>
        <w:ind w:right="-153"/>
        <w:rPr>
          <w:color w:val="000000" w:themeColor="text1"/>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耗材清单</w:t>
      </w:r>
    </w:p>
    <w:p>
      <w:pPr>
        <w:ind w:right="-153"/>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（备注：下列耗材乙方报价有效期3年。</w:t>
      </w:r>
      <w:r>
        <w:rPr>
          <w:rFonts w:hint="eastAsia" w:cs="宋体"/>
          <w:color w:val="000000" w:themeColor="text1"/>
          <w:sz w:val="24"/>
          <w:szCs w:val="24"/>
          <w:highlight w:val="none"/>
          <w14:textFill>
            <w14:solidFill>
              <w14:schemeClr w14:val="tx1"/>
            </w14:solidFill>
          </w14:textFill>
        </w:rPr>
        <w:t>）</w:t>
      </w:r>
    </w:p>
    <w:tbl>
      <w:tblPr>
        <w:tblStyle w:val="16"/>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单价（元）</w:t>
            </w:r>
          </w:p>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药交所编码</w:t>
            </w:r>
          </w:p>
        </w:tc>
      </w:tr>
      <w:tr>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bl>
    <w:p>
      <w:pPr>
        <w:ind w:right="-153"/>
        <w:rPr>
          <w:rFonts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（二）技术条款相关支撑资料（自附）</w:t>
      </w:r>
    </w:p>
    <w:p>
      <w:pPr>
        <w:rPr>
          <w:color w:val="000000" w:themeColor="text1"/>
          <w:highlight w:val="none"/>
          <w14:textFill>
            <w14:solidFill>
              <w14:schemeClr w14:val="tx1"/>
            </w14:solidFill>
          </w14:textFill>
        </w:rPr>
      </w:pPr>
      <w:bookmarkStart w:id="91" w:name="_Toc493178791"/>
      <w:bookmarkStart w:id="92" w:name="_Toc19113867"/>
      <w:bookmarkStart w:id="93" w:name="_Toc492721039"/>
      <w:bookmarkStart w:id="94" w:name="_Toc509321009"/>
      <w:r>
        <w:rPr>
          <w:rFonts w:hint="eastAsia" w:eastAsia="方正仿宋_GBK"/>
          <w:color w:val="000000" w:themeColor="text1"/>
          <w:sz w:val="24"/>
          <w:szCs w:val="24"/>
          <w:highlight w:val="none"/>
          <w14:textFill>
            <w14:solidFill>
              <w14:schemeClr w14:val="tx1"/>
            </w14:solidFill>
          </w14:textFill>
        </w:rPr>
        <w:t>一、安全责任承诺书</w:t>
      </w:r>
    </w:p>
    <w:p>
      <w:pPr>
        <w:snapToGrid w:val="0"/>
        <w:spacing w:line="360" w:lineRule="auto"/>
        <w:ind w:firstLine="482" w:firstLineChars="200"/>
        <w:jc w:val="center"/>
        <w:rPr>
          <w:rFonts w:ascii="Times New Roman" w:eastAsia="方正仿宋_GBK"/>
          <w:b/>
          <w:bCs/>
          <w:color w:val="000000" w:themeColor="text1"/>
          <w:sz w:val="24"/>
          <w:szCs w:val="24"/>
          <w:highlight w:val="none"/>
          <w14:textFill>
            <w14:solidFill>
              <w14:schemeClr w14:val="tx1"/>
            </w14:solidFill>
          </w14:textFill>
        </w:rPr>
      </w:pPr>
      <w:r>
        <w:rPr>
          <w:rFonts w:hint="eastAsia" w:ascii="Times New Roman" w:eastAsia="方正仿宋_GBK"/>
          <w:b/>
          <w:bCs/>
          <w:color w:val="000000" w:themeColor="text1"/>
          <w:sz w:val="24"/>
          <w:szCs w:val="24"/>
          <w:highlight w:val="none"/>
          <w14:textFill>
            <w14:solidFill>
              <w14:schemeClr w14:val="tx1"/>
            </w14:solidFill>
          </w14:textFill>
        </w:rPr>
        <w:t>安全责任承诺书</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致</w:t>
      </w:r>
      <w:r>
        <w:rPr>
          <w:rFonts w:hint="eastAsia" w:ascii="Times New Roman" w:eastAsia="方正仿宋_GBK"/>
          <w:color w:val="000000" w:themeColor="text1"/>
          <w:sz w:val="24"/>
          <w:szCs w:val="24"/>
          <w:highlight w:val="none"/>
          <w:u w:val="single"/>
          <w14:textFill>
            <w14:solidFill>
              <w14:schemeClr w14:val="tx1"/>
            </w14:solidFill>
          </w14:textFill>
        </w:rPr>
        <w:t xml:space="preserve">                              </w:t>
      </w:r>
      <w:r>
        <w:rPr>
          <w:rFonts w:hint="eastAsia" w:ascii="Times New Roman" w:eastAsia="方正仿宋_GBK"/>
          <w:color w:val="000000" w:themeColor="text1"/>
          <w:sz w:val="24"/>
          <w:szCs w:val="24"/>
          <w:highlight w:val="none"/>
          <w14:textFill>
            <w14:solidFill>
              <w14:schemeClr w14:val="tx1"/>
            </w14:solidFill>
          </w14:textFill>
        </w:rPr>
        <w:t>（采购人）：</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我司承诺在中标履约期间，严格落实生产安全方面各项工作，采取有效措施预防安全事故发生，妥善处理各类安全事故并做好善后处理，</w:t>
      </w:r>
      <w:r>
        <w:rPr>
          <w:rFonts w:hint="eastAsia" w:eastAsia="方正仿宋_GBK"/>
          <w:color w:val="000000" w:themeColor="text1"/>
          <w:sz w:val="24"/>
          <w:szCs w:val="24"/>
          <w:highlight w:val="none"/>
          <w14:textFill>
            <w14:solidFill>
              <w14:schemeClr w14:val="tx1"/>
            </w14:solidFill>
          </w14:textFill>
        </w:rPr>
        <w:t>我司对派遣到甲方工作的人员负有全部安全责任。我司派遣的工作人员，在工作中应严格遵守国家和相关行业安全操作规范，我司严格履行教育培训、监督管理责任。我司派遣的工作人员在工作中因自身原因或操作不当出现伤亡的，一切损失及费用均由我司自行负责；造成院方员工、来院人员人身伤亡或者财产损失的，一切损失及费用均由我司承担。</w:t>
      </w:r>
      <w:r>
        <w:rPr>
          <w:rFonts w:hint="eastAsia" w:ascii="Times New Roman" w:eastAsia="方正仿宋_GBK"/>
          <w:color w:val="000000" w:themeColor="text1"/>
          <w:sz w:val="24"/>
          <w:szCs w:val="24"/>
          <w:highlight w:val="none"/>
          <w14:textFill>
            <w14:solidFill>
              <w14:schemeClr w14:val="tx1"/>
            </w14:solidFill>
          </w14:textFill>
        </w:rPr>
        <w:t>具体安全生产管理举措如下：</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1、我司依法建立健全安全生产管理机构，配备符合要求的安全生产管理人员，保证安全生产管理机构发挥职能作用，安全管理人员履行安全管理职责，使安全生产管理做到标准化、规范化；</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2、建立健全安全生产责任制和各项规章制度、操作规程并严格落实；</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3、确保资金投入，持续具备法律、法规、规章、国家标准和行业标准规定的安全生产条件；</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4、对本项目员工进行安全生产教育和培训，做到持证上岗，满足岗位需求；</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5、安全管理人员不违章指挥，不强令员工违章冒险作业；</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6、与每一位从事本项目服务的员工签订安全生产协议和安全生产责任书；</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7、项目部加强安全生产监督检查，及时发现并排查、解除安全隐患；</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8、落实重大危险源监控责任，对重大危险源实施有效的监测、监控和整改；</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9、制定安全生产事故应急救援预案，并定期组织演练，落实操作岗位应急措施；</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10、如实告知员工作业场所和工作岗位存在的危险、危害因素、防范措施和事故应急措施；</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11、尊重员工在安全生产方面的应有权益，引导鼓励员工履行安全生产方面的义务，鼓励员工对安全生产违法、违规行为提出改正建议，甚至批评、举报；</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12、为员工提供符合国家标准或行业标准的劳动防护用品。并监督教育员工正确佩戴、使用劳动防护用品；</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13、为员工购买工伤社会保险，缴纳保险费；</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14、自觉接受甲方及相关部门的监督检查；</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15、按要求上报生产安全事故，做好事故抢险救援，妥善处理对事故伤亡人员依法赔偿等事故善后工作，不因此对招标人产生负面影响；</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16、履行法律法规规定的其他安全生产职责。</w:t>
      </w:r>
    </w:p>
    <w:p>
      <w:pPr>
        <w:snapToGrid w:val="0"/>
        <w:spacing w:line="360" w:lineRule="auto"/>
        <w:ind w:firstLine="480" w:firstLineChars="200"/>
        <w:rPr>
          <w:rFonts w:ascii="Times New Roman" w:eastAsia="方正仿宋_GBK"/>
          <w:color w:val="000000" w:themeColor="text1"/>
          <w:sz w:val="24"/>
          <w:szCs w:val="24"/>
          <w:highlight w:val="none"/>
          <w14:textFill>
            <w14:solidFill>
              <w14:schemeClr w14:val="tx1"/>
            </w14:solidFill>
          </w14:textFill>
        </w:rPr>
      </w:pPr>
      <w:r>
        <w:rPr>
          <w:rFonts w:hint="eastAsia" w:ascii="Times New Roman" w:eastAsia="方正仿宋_GBK"/>
          <w:color w:val="000000" w:themeColor="text1"/>
          <w:sz w:val="24"/>
          <w:szCs w:val="24"/>
          <w:highlight w:val="none"/>
          <w14:textFill>
            <w14:solidFill>
              <w14:schemeClr w14:val="tx1"/>
            </w14:solidFill>
          </w14:textFill>
        </w:rPr>
        <w:t>特此承诺。</w:t>
      </w:r>
    </w:p>
    <w:p>
      <w:pPr>
        <w:spacing w:line="360" w:lineRule="auto"/>
        <w:ind w:firstLine="6480" w:firstLineChars="27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供应商名称（公章）：</w:t>
      </w:r>
    </w:p>
    <w:p>
      <w:pPr>
        <w:jc w:val="center"/>
        <w:rPr>
          <w:color w:val="000000" w:themeColor="text1"/>
          <w:highlight w:val="none"/>
          <w14:textFill>
            <w14:solidFill>
              <w14:schemeClr w14:val="tx1"/>
            </w14:solidFill>
          </w14:textFill>
        </w:rPr>
      </w:pPr>
      <w:r>
        <w:rPr>
          <w:rFonts w:hint="eastAsia" w:ascii="方正仿宋_GBK" w:eastAsia="方正仿宋_GBK"/>
          <w:color w:val="000000" w:themeColor="text1"/>
          <w:sz w:val="24"/>
          <w:szCs w:val="24"/>
          <w:highlight w:val="none"/>
          <w14:textFill>
            <w14:solidFill>
              <w14:schemeClr w14:val="tx1"/>
            </w14:solidFill>
          </w14:textFill>
        </w:rPr>
        <w:t xml:space="preserve">                                                 年    月    日</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95" w:name="_Toc98942907"/>
      <w:r>
        <w:rPr>
          <w:rFonts w:hint="eastAsia"/>
          <w:color w:val="000000" w:themeColor="text1"/>
          <w:highlight w:val="none"/>
          <w14:textFill>
            <w14:solidFill>
              <w14:schemeClr w14:val="tx1"/>
            </w14:solidFill>
          </w14:textFill>
        </w:rPr>
        <w:t>三、商务文件</w:t>
      </w:r>
      <w:bookmarkEnd w:id="91"/>
      <w:bookmarkEnd w:id="92"/>
      <w:bookmarkEnd w:id="93"/>
      <w:bookmarkEnd w:id="94"/>
      <w:bookmarkEnd w:id="95"/>
    </w:p>
    <w:p>
      <w:pPr>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（一）投标函（格式）</w:t>
      </w:r>
    </w:p>
    <w:p>
      <w:pPr>
        <w:spacing w:line="360" w:lineRule="auto"/>
        <w:rPr>
          <w:rFonts w:hAnsi="宋体" w:cs="宋体"/>
          <w:color w:val="000000" w:themeColor="text1"/>
          <w:sz w:val="28"/>
          <w:szCs w:val="28"/>
          <w:highlight w:val="none"/>
          <w:u w:val="singl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采购项目名称：</w:t>
      </w: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w:t>
      </w:r>
      <w:r>
        <w:rPr>
          <w:rFonts w:hint="eastAsia" w:hAnsi="宋体" w:cs="宋体"/>
          <w:color w:val="000000" w:themeColor="text1"/>
          <w:sz w:val="28"/>
          <w:szCs w:val="28"/>
          <w:highlight w:val="none"/>
          <w:u w:val="single"/>
          <w14:textFill>
            <w14:solidFill>
              <w14:schemeClr w14:val="tx1"/>
            </w14:solidFill>
          </w14:textFill>
        </w:rPr>
        <w:t>采购人名称</w:t>
      </w:r>
      <w:r>
        <w:rPr>
          <w:rFonts w:hint="eastAsia" w:hAnsi="宋体" w:cs="宋体"/>
          <w:color w:val="000000" w:themeColor="text1"/>
          <w:sz w:val="28"/>
          <w:szCs w:val="28"/>
          <w:highlight w:val="none"/>
          <w14:textFill>
            <w14:solidFill>
              <w14:schemeClr w14:val="tx1"/>
            </w14:solidFill>
          </w14:textFill>
        </w:rPr>
        <w:t>）：</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w:t>
      </w:r>
      <w:r>
        <w:rPr>
          <w:rFonts w:hint="eastAsia" w:hAnsi="宋体" w:cs="宋体"/>
          <w:color w:val="000000" w:themeColor="text1"/>
          <w:sz w:val="28"/>
          <w:szCs w:val="28"/>
          <w:highlight w:val="none"/>
          <w:u w:val="single"/>
          <w14:textFill>
            <w14:solidFill>
              <w14:schemeClr w14:val="tx1"/>
            </w14:solidFill>
          </w14:textFill>
        </w:rPr>
        <w:t>投标人名称</w:t>
      </w:r>
      <w:r>
        <w:rPr>
          <w:rFonts w:hint="eastAsia" w:hAnsi="宋体" w:cs="宋体"/>
          <w:color w:val="000000" w:themeColor="text1"/>
          <w:sz w:val="28"/>
          <w:szCs w:val="28"/>
          <w:highlight w:val="none"/>
          <w14:textFill>
            <w14:solidFill>
              <w14:schemeClr w14:val="tx1"/>
            </w14:solidFill>
          </w14:textFill>
        </w:rPr>
        <w:t>）系中华人民共和国合法企业，注册地址：</w:t>
      </w:r>
      <w:r>
        <w:rPr>
          <w:rFonts w:hint="eastAsia" w:hAnsi="宋体" w:cs="宋体"/>
          <w:color w:val="000000" w:themeColor="text1"/>
          <w:sz w:val="28"/>
          <w:szCs w:val="28"/>
          <w:highlight w:val="none"/>
          <w:u w:val="single"/>
          <w14:textFill>
            <w14:solidFill>
              <w14:schemeClr w14:val="tx1"/>
            </w14:solidFill>
          </w14:textFill>
        </w:rPr>
        <w:t xml:space="preserve">        </w:t>
      </w:r>
      <w:r>
        <w:rPr>
          <w:rFonts w:hint="eastAsia" w:hAnsi="宋体" w:cs="宋体"/>
          <w:color w:val="000000" w:themeColor="text1"/>
          <w:sz w:val="28"/>
          <w:szCs w:val="28"/>
          <w:highlight w:val="none"/>
          <w14:textFill>
            <w14:solidFill>
              <w14:schemeClr w14:val="tx1"/>
            </w14:solidFill>
          </w14:textFill>
        </w:rPr>
        <w:t xml:space="preserve"> 。我方就参加本次投标有关事项郑重声明如下：</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一、我方完全理解并接受该项目竞争性比选文件所有要求。</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二、我方提交的所有响应文件、资料都是准确和真实的，如有虚假或隐瞒，我方愿意承担一切法律责任。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三、我方承诺按照竞争性比选文件要求，提供采购项目的货物和服务。</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四、我方按竞争性比选文件要求提交的响应文件为：响应文件正本1份，副本1份。</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五、我方承诺：本次投标的投标有效期为90天。</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七、如果我方中标，我方将履行竞争性比选文件中规定的各项要求以及我方响应文件的各项承诺，按《政府采购法》、《民法典》及合同约定条款承担我方责任。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八、我方理解，最低报价不是中标的唯一条件。</w:t>
      </w:r>
    </w:p>
    <w:p>
      <w:pPr>
        <w:tabs>
          <w:tab w:val="left" w:pos="6300"/>
        </w:tabs>
        <w:snapToGrid w:val="0"/>
        <w:spacing w:line="360" w:lineRule="auto"/>
        <w:ind w:firstLine="7210" w:firstLineChars="2575"/>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7210" w:firstLineChars="2575"/>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firstLine="6720" w:firstLineChars="2400"/>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r>
        <w:rPr>
          <w:rFonts w:hint="eastAsia" w:hAnsi="宋体" w:cs="宋体"/>
          <w:color w:val="000000" w:themeColor="text1"/>
          <w:sz w:val="28"/>
          <w:szCs w:val="28"/>
          <w:highlight w:val="none"/>
          <w14:textFill>
            <w14:solidFill>
              <w14:schemeClr w14:val="tx1"/>
            </w14:solidFill>
          </w14:textFill>
        </w:rPr>
        <w:br w:type="page"/>
      </w:r>
      <w:bookmarkStart w:id="96" w:name="_Toc19113868"/>
      <w:r>
        <w:rPr>
          <w:rFonts w:hint="eastAsia" w:hAnsi="宋体" w:cs="宋体"/>
          <w:color w:val="000000" w:themeColor="text1"/>
          <w:sz w:val="28"/>
          <w:szCs w:val="28"/>
          <w:highlight w:val="none"/>
          <w14:textFill>
            <w14:solidFill>
              <w14:schemeClr w14:val="tx1"/>
            </w14:solidFill>
          </w14:textFill>
        </w:rPr>
        <w:t>（二）商务条款差异表</w:t>
      </w:r>
      <w:bookmarkEnd w:id="96"/>
    </w:p>
    <w:p>
      <w:pPr>
        <w:spacing w:line="360" w:lineRule="auto"/>
        <w:jc w:val="left"/>
        <w:rPr>
          <w:rFonts w:hAnsi="宋体" w:cs="宋体"/>
          <w:color w:val="000000" w:themeColor="text1"/>
          <w:sz w:val="28"/>
          <w:szCs w:val="28"/>
          <w:highlight w:val="none"/>
          <w14:textFill>
            <w14:solidFill>
              <w14:schemeClr w14:val="tx1"/>
            </w14:solidFill>
          </w14:textFill>
        </w:rPr>
      </w:pPr>
      <w:bookmarkStart w:id="97" w:name="_Toc19113869"/>
      <w:r>
        <w:rPr>
          <w:rFonts w:hint="eastAsia" w:hAnsi="宋体" w:cs="宋体"/>
          <w:color w:val="000000" w:themeColor="text1"/>
          <w:sz w:val="28"/>
          <w:szCs w:val="28"/>
          <w:highlight w:val="none"/>
          <w14:textFill>
            <w14:solidFill>
              <w14:schemeClr w14:val="tx1"/>
            </w14:solidFill>
          </w14:textFill>
        </w:rPr>
        <w:t xml:space="preserve">         采购项目名称：</w:t>
      </w:r>
      <w:bookmarkEnd w:id="97"/>
    </w:p>
    <w:tbl>
      <w:tblPr>
        <w:tblStyle w:val="1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8" w:name="_Toc19113870"/>
            <w:r>
              <w:rPr>
                <w:rFonts w:hint="eastAsia" w:hAnsi="宋体" w:cs="宋体"/>
                <w:color w:val="000000" w:themeColor="text1"/>
                <w:sz w:val="28"/>
                <w:szCs w:val="28"/>
                <w:highlight w:val="none"/>
                <w14:textFill>
                  <w14:solidFill>
                    <w14:schemeClr w14:val="tx1"/>
                  </w14:solidFill>
                </w14:textFill>
              </w:rPr>
              <w:t>序号</w:t>
            </w:r>
            <w:bookmarkEnd w:id="98"/>
          </w:p>
        </w:tc>
        <w:tc>
          <w:tcPr>
            <w:tcW w:w="242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9" w:name="_Toc19113871"/>
            <w:r>
              <w:rPr>
                <w:rFonts w:hint="eastAsia" w:hAnsi="宋体" w:cs="宋体"/>
                <w:color w:val="000000" w:themeColor="text1"/>
                <w:sz w:val="28"/>
                <w:szCs w:val="28"/>
                <w:highlight w:val="none"/>
                <w14:textFill>
                  <w14:solidFill>
                    <w14:schemeClr w14:val="tx1"/>
                  </w14:solidFill>
                </w14:textFill>
              </w:rPr>
              <w:t>招标商务要求</w:t>
            </w:r>
            <w:bookmarkEnd w:id="99"/>
          </w:p>
        </w:tc>
        <w:tc>
          <w:tcPr>
            <w:tcW w:w="2520"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100" w:name="_Toc19113872"/>
            <w:r>
              <w:rPr>
                <w:rFonts w:hint="eastAsia" w:hAnsi="宋体" w:cs="宋体"/>
                <w:color w:val="000000" w:themeColor="text1"/>
                <w:sz w:val="28"/>
                <w:szCs w:val="28"/>
                <w:highlight w:val="none"/>
                <w14:textFill>
                  <w14:solidFill>
                    <w14:schemeClr w14:val="tx1"/>
                  </w14:solidFill>
                </w14:textFill>
              </w:rPr>
              <w:t>投标商务应答</w:t>
            </w:r>
            <w:bookmarkEnd w:id="100"/>
          </w:p>
        </w:tc>
        <w:tc>
          <w:tcPr>
            <w:tcW w:w="188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101" w:name="_Toc19113873"/>
            <w:r>
              <w:rPr>
                <w:rFonts w:hint="eastAsia" w:hAnsi="宋体" w:cs="宋体"/>
                <w:color w:val="000000" w:themeColor="text1"/>
                <w:sz w:val="28"/>
                <w:szCs w:val="28"/>
                <w:highlight w:val="none"/>
                <w14:textFill>
                  <w14:solidFill>
                    <w14:schemeClr w14:val="tx1"/>
                  </w14:solidFill>
                </w14:textFill>
              </w:rPr>
              <w:t>差异说明</w:t>
            </w:r>
            <w:bookmarkEnd w:id="1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c>
          <w:tcPr>
            <w:tcW w:w="2428"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c>
          <w:tcPr>
            <w:tcW w:w="2520"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c>
          <w:tcPr>
            <w:tcW w:w="1888"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bl>
    <w:p>
      <w:pPr>
        <w:spacing w:line="360" w:lineRule="auto"/>
        <w:ind w:firstLine="700" w:firstLineChars="25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                    法定代表人或法定代表人授权代表：</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1.本表即为对本项目“商务要求”中所列商务条款进行比较和响应；</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2.该表必须按照竞争性比选文件要求逐条如实填写，根据投标情况在“差异说明”项填写正偏离或负偏离及原因，完全符合的填写“无差异”。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3.该表可扩展。</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102" w:name="_Toc19113874"/>
      <w:r>
        <w:rPr>
          <w:rFonts w:hint="eastAsia"/>
          <w:color w:val="000000" w:themeColor="text1"/>
          <w:highlight w:val="none"/>
          <w14:textFill>
            <w14:solidFill>
              <w14:schemeClr w14:val="tx1"/>
            </w14:solidFill>
          </w14:textFill>
        </w:rPr>
        <w:t>（三）商务条款相关支撑资料</w:t>
      </w:r>
      <w:bookmarkEnd w:id="102"/>
      <w:r>
        <w:rPr>
          <w:rFonts w:hint="eastAsia"/>
          <w:color w:val="000000" w:themeColor="text1"/>
          <w:highlight w:val="none"/>
          <w14:textFill>
            <w14:solidFill>
              <w14:schemeClr w14:val="tx1"/>
            </w14:solidFill>
          </w14:textFill>
        </w:rPr>
        <w:t>（自附）</w:t>
      </w: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bookmarkStart w:id="103" w:name="_Toc509321010"/>
      <w:bookmarkStart w:id="104" w:name="_Toc492721041"/>
      <w:bookmarkStart w:id="105" w:name="_Toc493178792"/>
      <w:bookmarkStart w:id="106" w:name="_Toc19113879"/>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107" w:name="_Toc98942908"/>
      <w:r>
        <w:rPr>
          <w:rFonts w:hint="eastAsia"/>
          <w:color w:val="000000" w:themeColor="text1"/>
          <w:highlight w:val="none"/>
          <w14:textFill>
            <w14:solidFill>
              <w14:schemeClr w14:val="tx1"/>
            </w14:solidFill>
          </w14:textFill>
        </w:rPr>
        <w:t>四、</w:t>
      </w:r>
      <w:bookmarkEnd w:id="103"/>
      <w:bookmarkEnd w:id="104"/>
      <w:bookmarkEnd w:id="105"/>
      <w:r>
        <w:rPr>
          <w:rFonts w:hint="eastAsia"/>
          <w:color w:val="000000" w:themeColor="text1"/>
          <w:highlight w:val="none"/>
          <w14:textFill>
            <w14:solidFill>
              <w14:schemeClr w14:val="tx1"/>
            </w14:solidFill>
          </w14:textFill>
        </w:rPr>
        <w:t>其他与项目有关的资料（自附）</w:t>
      </w:r>
      <w:bookmarkEnd w:id="106"/>
      <w:bookmarkEnd w:id="107"/>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108" w:name="_Toc492721038"/>
      <w:bookmarkStart w:id="109" w:name="_Toc493178793"/>
      <w:bookmarkStart w:id="110" w:name="_Toc98942909"/>
      <w:bookmarkStart w:id="111" w:name="_Toc509321011"/>
      <w:bookmarkStart w:id="112" w:name="_Toc19113880"/>
      <w:r>
        <w:rPr>
          <w:rFonts w:hint="eastAsia"/>
          <w:color w:val="000000" w:themeColor="text1"/>
          <w:highlight w:val="none"/>
          <w14:textFill>
            <w14:solidFill>
              <w14:schemeClr w14:val="tx1"/>
            </w14:solidFill>
          </w14:textFill>
        </w:rPr>
        <w:t>五、资格文件</w:t>
      </w:r>
      <w:bookmarkEnd w:id="108"/>
      <w:bookmarkEnd w:id="109"/>
      <w:bookmarkEnd w:id="110"/>
      <w:bookmarkEnd w:id="111"/>
      <w:bookmarkEnd w:id="112"/>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（一）营业执照（副本）或事业单位法人证书（副本）复印件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widowControl/>
        <w:spacing w:line="360" w:lineRule="auto"/>
        <w:ind w:firstLine="560" w:firstLineChars="20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（二）法定代表人身份证明书（格式）</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采购项目名称：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（法定代表人姓名）在（投标人名称）任（职务名称）职务，是（投标人名称）的法定代表人。</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特此证明。</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（附：法定代表人身份证正反面复印件）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column"/>
      </w:r>
      <w:r>
        <w:rPr>
          <w:rFonts w:hint="eastAsia" w:hAnsi="宋体" w:cs="宋体"/>
          <w:color w:val="000000" w:themeColor="text1"/>
          <w:sz w:val="28"/>
          <w:szCs w:val="28"/>
          <w:highlight w:val="none"/>
          <w14:textFill>
            <w14:solidFill>
              <w14:schemeClr w14:val="tx1"/>
            </w14:solidFill>
          </w14:textFill>
        </w:rPr>
        <w:t>（三）法定代表人授权委托书（格式）</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采购项目名称：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（投标人法定代表人名称）是（投标人名称）的法定代表人，特授权（被授权人</w:t>
      </w:r>
      <w:r>
        <w:rPr>
          <w:rFonts w:hint="eastAsia" w:hAnsi="宋体" w:cs="宋体"/>
          <w:color w:val="000000" w:themeColor="text1"/>
          <w:sz w:val="28"/>
          <w:szCs w:val="28"/>
          <w:highlight w:val="none"/>
          <w:u w:val="single"/>
          <w14:textFill>
            <w14:solidFill>
              <w14:schemeClr w14:val="tx1"/>
            </w14:solidFill>
          </w14:textFill>
        </w:rPr>
        <w:t>姓名</w:t>
      </w:r>
      <w:r>
        <w:rPr>
          <w:rFonts w:hint="eastAsia" w:hAnsi="宋体" w:cs="宋体"/>
          <w:color w:val="000000" w:themeColor="text1"/>
          <w:sz w:val="28"/>
          <w:szCs w:val="28"/>
          <w:highlight w:val="none"/>
          <w14:textFill>
            <w14:solidFill>
              <w14:schemeClr w14:val="tx1"/>
            </w14:solidFill>
          </w14:textFill>
        </w:rPr>
        <w:t>及</w:t>
      </w:r>
      <w:r>
        <w:rPr>
          <w:rFonts w:hint="eastAsia" w:hAnsi="宋体" w:cs="宋体"/>
          <w:color w:val="000000" w:themeColor="text1"/>
          <w:sz w:val="28"/>
          <w:szCs w:val="28"/>
          <w:highlight w:val="none"/>
          <w:u w:val="single"/>
          <w14:textFill>
            <w14:solidFill>
              <w14:schemeClr w14:val="tx1"/>
            </w14:solidFill>
          </w14:textFill>
        </w:rPr>
        <w:t>身份证号码</w:t>
      </w:r>
      <w:r>
        <w:rPr>
          <w:rFonts w:hint="eastAsia" w:hAnsi="宋体" w:cs="宋体"/>
          <w:color w:val="000000" w:themeColor="text1"/>
          <w:sz w:val="28"/>
          <w:szCs w:val="28"/>
          <w:highlight w:val="none"/>
          <w14:textFill>
            <w14:solidFill>
              <w14:schemeClr w14:val="tx1"/>
            </w14:solidFill>
          </w14:textFill>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我单位对被授权人的签字负全部责任。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被授权人：                                 投标人法定代表人：</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（签字或盖章）                                （签字或盖章）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（附：被授权人身份证正反面复印件）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1.若为法定代表人办理并签署响应文件的，不提供此文件。</w:t>
      </w: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2.若为联合体投标的，法定代表人授权委托书由联合体主办方（主体）出具。</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column"/>
      </w:r>
      <w:bookmarkEnd w:id="0"/>
      <w:r>
        <w:rPr>
          <w:rFonts w:hint="eastAsia" w:hAnsi="宋体" w:cs="宋体"/>
          <w:color w:val="000000" w:themeColor="text1"/>
          <w:sz w:val="28"/>
          <w:szCs w:val="28"/>
          <w:highlight w:val="none"/>
          <w14:textFill>
            <w14:solidFill>
              <w14:schemeClr w14:val="tx1"/>
            </w14:solidFill>
          </w14:textFill>
        </w:rPr>
        <w:t>（四）书面声明</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采购项目名称：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特此声明。</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24"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tabs>
          <w:tab w:val="left" w:pos="6300"/>
        </w:tabs>
        <w:snapToGrid w:val="0"/>
        <w:spacing w:line="500" w:lineRule="exact"/>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page"/>
      </w:r>
      <w:r>
        <w:rPr>
          <w:rFonts w:hint="eastAsia" w:ascii="方正仿宋_GBK" w:hAnsi="仿宋" w:eastAsia="方正仿宋_GBK"/>
          <w:color w:val="000000" w:themeColor="text1"/>
          <w:highlight w:val="none"/>
          <w14:textFill>
            <w14:solidFill>
              <w14:schemeClr w14:val="tx1"/>
            </w14:solidFill>
          </w14:textFill>
        </w:rPr>
        <w:t>（五）</w:t>
      </w:r>
      <w:r>
        <w:rPr>
          <w:rFonts w:hint="eastAsia" w:hAnsi="宋体" w:cs="宋体"/>
          <w:color w:val="000000" w:themeColor="text1"/>
          <w:sz w:val="28"/>
          <w:szCs w:val="28"/>
          <w:highlight w:val="none"/>
          <w14:textFill>
            <w14:solidFill>
              <w14:schemeClr w14:val="tx1"/>
            </w14:solidFill>
          </w14:textFill>
        </w:rPr>
        <w:t>特定资格条件证书或证明文件</w:t>
      </w: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（结束）</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94392D0-A004-4F4C-8BD3-DDF0AF693B7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ECFAA9C-065C-40BA-9C9D-4843FDF41BBD}"/>
  </w:font>
  <w:font w:name="仿宋">
    <w:panose1 w:val="02010609060101010101"/>
    <w:charset w:val="86"/>
    <w:family w:val="modern"/>
    <w:pitch w:val="default"/>
    <w:sig w:usb0="800002BF" w:usb1="38CF7CFA" w:usb2="00000016" w:usb3="00000000" w:csb0="00040001" w:csb1="00000000"/>
    <w:embedRegular r:id="rId3" w:fontKey="{EE8A12D3-1945-44E8-9D87-026B30F5778A}"/>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embedRegular r:id="rId4" w:fontKey="{09ED1B28-A7F9-4F84-A684-DB4F1164D8CE}"/>
  </w:font>
  <w:font w:name="方正仿宋_GBK">
    <w:panose1 w:val="03000509000000000000"/>
    <w:charset w:val="86"/>
    <w:family w:val="script"/>
    <w:pitch w:val="default"/>
    <w:sig w:usb0="00000001" w:usb1="080E0000" w:usb2="00000000" w:usb3="00000000" w:csb0="00040000" w:csb1="00000000"/>
    <w:embedRegular r:id="rId5" w:fontKey="{14BA3518-9158-404F-81E7-C7A74BF197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37</w:t>
    </w:r>
    <w:r>
      <w:rPr>
        <w:b/>
        <w:sz w:val="24"/>
        <w:szCs w:val="24"/>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rPr>
      <w:t>重庆医科大学附属口腔医院                                                                   竞争性比选文件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a2c711b-de76-4637-924e-0d8621a22b8e"/>
  </w:docVars>
  <w:rsids>
    <w:rsidRoot w:val="00A017F3"/>
    <w:rsid w:val="005E4748"/>
    <w:rsid w:val="00830348"/>
    <w:rsid w:val="0089462F"/>
    <w:rsid w:val="008D7439"/>
    <w:rsid w:val="00A017F3"/>
    <w:rsid w:val="00D164B4"/>
    <w:rsid w:val="02E722DF"/>
    <w:rsid w:val="0BD16AA0"/>
    <w:rsid w:val="10D9172F"/>
    <w:rsid w:val="14BE504B"/>
    <w:rsid w:val="184C3483"/>
    <w:rsid w:val="1D563D19"/>
    <w:rsid w:val="271F00E7"/>
    <w:rsid w:val="29430AB8"/>
    <w:rsid w:val="305B7ED0"/>
    <w:rsid w:val="31825ED0"/>
    <w:rsid w:val="354C5318"/>
    <w:rsid w:val="36FE3290"/>
    <w:rsid w:val="3D491BBB"/>
    <w:rsid w:val="407006A0"/>
    <w:rsid w:val="40953369"/>
    <w:rsid w:val="4550368C"/>
    <w:rsid w:val="472C002F"/>
    <w:rsid w:val="4FC11690"/>
    <w:rsid w:val="52982991"/>
    <w:rsid w:val="562E2155"/>
    <w:rsid w:val="65222B6E"/>
    <w:rsid w:val="6D0B4343"/>
    <w:rsid w:val="6D3E38DD"/>
    <w:rsid w:val="719506E9"/>
    <w:rsid w:val="72447743"/>
    <w:rsid w:val="77125EA5"/>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jc w:val="center"/>
      <w:outlineLvl w:val="0"/>
    </w:pPr>
    <w:rPr>
      <w:rFonts w:ascii="Times New Roman" w:eastAsia="仿宋"/>
      <w:b/>
      <w:bCs/>
      <w:kern w:val="44"/>
      <w:sz w:val="44"/>
      <w:szCs w:val="44"/>
    </w:rPr>
  </w:style>
  <w:style w:type="paragraph" w:styleId="3">
    <w:name w:val="heading 2"/>
    <w:basedOn w:val="1"/>
    <w:next w:val="1"/>
    <w:link w:val="20"/>
    <w:qFormat/>
    <w:uiPriority w:val="0"/>
    <w:pPr>
      <w:keepNext/>
      <w:keepLines/>
      <w:jc w:val="left"/>
      <w:outlineLvl w:val="1"/>
    </w:pPr>
    <w:rPr>
      <w:rFonts w:ascii="Arial" w:hAnsi="Arial"/>
      <w:bCs/>
      <w:kern w:val="2"/>
      <w:sz w:val="28"/>
      <w:szCs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0"/>
    <w:rPr>
      <w:rFonts w:ascii="仿宋_GB2312" w:eastAsia="仿宋_GB2312"/>
      <w:sz w:val="32"/>
    </w:rPr>
  </w:style>
  <w:style w:type="paragraph" w:styleId="7">
    <w:name w:val="Body Text Indent"/>
    <w:basedOn w:val="1"/>
    <w:qFormat/>
    <w:uiPriority w:val="0"/>
    <w:pPr>
      <w:spacing w:line="700" w:lineRule="exact"/>
      <w:ind w:left="960"/>
    </w:pPr>
    <w:rPr>
      <w:sz w:val="44"/>
    </w:rPr>
  </w:style>
  <w:style w:type="paragraph" w:styleId="8">
    <w:name w:val="Plain Text"/>
    <w:basedOn w:val="1"/>
    <w:qFormat/>
    <w:uiPriority w:val="99"/>
    <w:rPr>
      <w:rFonts w:hAnsi="Courier New"/>
      <w:kern w:val="2"/>
      <w:sz w:val="21"/>
      <w:szCs w:val="21"/>
    </w:rPr>
  </w:style>
  <w:style w:type="paragraph" w:styleId="9">
    <w:name w:val="Date"/>
    <w:basedOn w:val="1"/>
    <w:next w:val="1"/>
    <w:qFormat/>
    <w:uiPriority w:val="0"/>
    <w:pPr>
      <w:ind w:left="100" w:leftChars="2500"/>
    </w:pPr>
  </w:style>
  <w:style w:type="paragraph" w:styleId="10">
    <w:name w:val="Balloon Text"/>
    <w:basedOn w:val="1"/>
    <w:link w:val="23"/>
    <w:uiPriority w:val="0"/>
    <w:rPr>
      <w:sz w:val="18"/>
      <w:szCs w:val="18"/>
    </w:rPr>
  </w:style>
  <w:style w:type="paragraph" w:styleId="11">
    <w:name w:val="footer"/>
    <w:basedOn w:val="1"/>
    <w:qFormat/>
    <w:uiPriority w:val="99"/>
    <w:pPr>
      <w:tabs>
        <w:tab w:val="center" w:pos="4153"/>
        <w:tab w:val="right" w:pos="8306"/>
      </w:tabs>
      <w:snapToGrid w:val="0"/>
      <w:jc w:val="left"/>
    </w:pPr>
    <w:rPr>
      <w:rFonts w:ascii="Times New Roman"/>
      <w:kern w:val="2"/>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b/>
      <w:bCs/>
      <w:caps/>
    </w:rPr>
  </w:style>
  <w:style w:type="paragraph" w:styleId="14">
    <w:name w:val="toc 2"/>
    <w:basedOn w:val="1"/>
    <w:next w:val="1"/>
    <w:qFormat/>
    <w:uiPriority w:val="39"/>
    <w:pPr>
      <w:spacing w:line="312" w:lineRule="auto"/>
      <w:ind w:left="420"/>
      <w:jc w:val="right"/>
    </w:pPr>
    <w:rPr>
      <w:rFonts w:ascii="仿宋_GB2312" w:eastAsia="仿宋_GB2312"/>
      <w:bCs/>
      <w:smallCaps/>
      <w:sz w:val="24"/>
    </w:rPr>
  </w:style>
  <w:style w:type="paragraph" w:styleId="15">
    <w:name w:val="Normal (Web)"/>
    <w:basedOn w:val="1"/>
    <w:qFormat/>
    <w:uiPriority w:val="0"/>
    <w:pPr>
      <w:widowControl/>
      <w:spacing w:before="100" w:beforeAutospacing="1" w:after="100" w:afterAutospacing="1"/>
      <w:jc w:val="left"/>
    </w:pPr>
    <w:rPr>
      <w:rFonts w:hAnsi="宋体" w:eastAsia="仿宋_GB2312"/>
      <w:sz w:val="24"/>
      <w:szCs w:val="28"/>
    </w:rPr>
  </w:style>
  <w:style w:type="character" w:styleId="18">
    <w:name w:val="Hyperlink"/>
    <w:qFormat/>
    <w:uiPriority w:val="99"/>
    <w:rPr>
      <w:color w:val="0000FF"/>
      <w:u w:val="single"/>
    </w:rPr>
  </w:style>
  <w:style w:type="character" w:styleId="19">
    <w:name w:val="annotation reference"/>
    <w:basedOn w:val="17"/>
    <w:qFormat/>
    <w:uiPriority w:val="0"/>
    <w:rPr>
      <w:sz w:val="21"/>
      <w:szCs w:val="21"/>
    </w:rPr>
  </w:style>
  <w:style w:type="character" w:customStyle="1" w:styleId="20">
    <w:name w:val="标题 2 Char"/>
    <w:link w:val="3"/>
    <w:qFormat/>
    <w:uiPriority w:val="0"/>
    <w:rPr>
      <w:rFonts w:ascii="Arial" w:hAnsi="Arial"/>
      <w:bCs/>
      <w:kern w:val="2"/>
      <w:sz w:val="28"/>
      <w:szCs w:val="32"/>
    </w:rPr>
  </w:style>
  <w:style w:type="paragraph" w:customStyle="1" w:styleId="21">
    <w:name w:val="正文首行缩进 21"/>
    <w:basedOn w:val="22"/>
    <w:qFormat/>
    <w:uiPriority w:val="0"/>
    <w:pPr>
      <w:ind w:firstLine="420"/>
    </w:pPr>
  </w:style>
  <w:style w:type="paragraph" w:customStyle="1" w:styleId="22">
    <w:name w:val="正文文本缩进1"/>
    <w:basedOn w:val="1"/>
    <w:qFormat/>
    <w:uiPriority w:val="0"/>
    <w:pPr>
      <w:spacing w:line="500" w:lineRule="exact"/>
      <w:ind w:firstLine="880" w:firstLineChars="200"/>
    </w:pPr>
    <w:rPr>
      <w:rFonts w:ascii="Times New Roman"/>
    </w:rPr>
  </w:style>
  <w:style w:type="character" w:customStyle="1" w:styleId="23">
    <w:name w:val="批注框文本 Char"/>
    <w:basedOn w:val="17"/>
    <w:link w:val="10"/>
    <w:qFormat/>
    <w:uiPriority w:val="0"/>
    <w:rPr>
      <w:rFonts w:ascii="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13365</Words>
  <Characters>13693</Characters>
  <Lines>130</Lines>
  <Paragraphs>36</Paragraphs>
  <TotalTime>5</TotalTime>
  <ScaleCrop>false</ScaleCrop>
  <LinksUpToDate>false</LinksUpToDate>
  <CharactersWithSpaces>14615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2024-04-24T02:20:00Z</dcterms:created>
  <dc:creator>Administrator.MM-202203241122</dc:creator>
  <cp:lastModifiedBy>小陈Clam</cp:lastModifiedBy>
  <dcterms:modified xsi:type="dcterms:W3CDTF">2025-03-13T08:26:42Z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14A94E33E87941209E6874A1843DE00F_13</vt:lpwstr>
  </property>
  <property fmtid="{D5CDD505-2E9C-101B-9397-08002B2CF9AE}" pid="4" name="KSOTemplateDocerSaveRecord">
    <vt:lpwstr>eyJoZGlkIjoiZWJmMTRiODdhY2ZhMzQzYTUzY2U0OWM4Nzk4OWIyMWMiLCJ1c2VySWQiOiI3ODE0OTk0OTIifQ==</vt:lpwstr>
  </property>
</Properties>
</file>