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bookmarkStart w:id="106" w:name="_GoBack"/>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住培临床教学管理系统</w:t>
      </w:r>
      <w:r>
        <w:rPr>
          <w:rFonts w:hint="eastAsia" w:hAnsi="宋体" w:cs="宋体"/>
          <w:b/>
          <w:color w:val="000000" w:themeColor="text1"/>
          <w:sz w:val="40"/>
          <w:szCs w:val="40"/>
          <w:highlight w:val="none"/>
          <w14:textFill>
            <w14:solidFill>
              <w14:schemeClr w14:val="tx1"/>
            </w14:solidFill>
          </w14:textFill>
        </w:rPr>
        <w:t>采购</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3854"/>
      <w:bookmarkStart w:id="4" w:name="_Toc19115520"/>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5010</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五</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7"/>
          <w:rFonts w:hint="eastAsia" w:ascii="宋体" w:hAnsi="宋体" w:cs="宋体"/>
          <w:color w:val="000000" w:themeColor="text1"/>
          <w:highlight w:val="none"/>
          <w14:textFill>
            <w14:solidFill>
              <w14:schemeClr w14:val="tx1"/>
            </w14:solidFill>
          </w14:textFill>
        </w:rPr>
        <w:t>一、</w:t>
      </w:r>
      <w:r>
        <w:rPr>
          <w:rStyle w:val="17"/>
          <w:rFonts w:hint="eastAsia" w:ascii="宋体" w:hAnsi="宋体" w:cs="宋体"/>
          <w:color w:val="000000" w:themeColor="text1"/>
          <w:highlight w:val="none"/>
          <w:lang w:eastAsia="zh-CN"/>
          <w14:textFill>
            <w14:solidFill>
              <w14:schemeClr w14:val="tx1"/>
            </w14:solidFill>
          </w14:textFill>
        </w:rPr>
        <w:t>采购项目</w:t>
      </w:r>
      <w:r>
        <w:rPr>
          <w:rStyle w:val="17"/>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7"/>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一、</w:t>
      </w:r>
      <w:r>
        <w:rPr>
          <w:rStyle w:val="17"/>
          <w:rFonts w:hint="eastAsia"/>
          <w:color w:val="000000" w:themeColor="text1"/>
          <w:highlight w:val="none"/>
          <w:lang w:eastAsia="zh-CN"/>
          <w14:textFill>
            <w14:solidFill>
              <w14:schemeClr w14:val="tx1"/>
            </w14:solidFill>
          </w14:textFill>
        </w:rPr>
        <w:t>采购项目</w:t>
      </w:r>
      <w:r>
        <w:rPr>
          <w:rStyle w:val="17"/>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w:t>
      </w:r>
      <w:r>
        <w:rPr>
          <w:rStyle w:val="17"/>
          <w:rFonts w:hint="eastAsia"/>
          <w:color w:val="000000" w:themeColor="text1"/>
          <w:highlight w:val="none"/>
          <w:lang w:eastAsia="zh-CN"/>
          <w14:textFill>
            <w14:solidFill>
              <w14:schemeClr w14:val="tx1"/>
            </w14:solidFill>
          </w14:textFill>
        </w:rPr>
        <w:t>采购项目</w:t>
      </w:r>
      <w:r>
        <w:rPr>
          <w:rStyle w:val="17"/>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7"/>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7"/>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7"/>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w:t>
      </w:r>
      <w:r>
        <w:rPr>
          <w:rStyle w:val="17"/>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三、</w:t>
      </w:r>
      <w:r>
        <w:rPr>
          <w:rStyle w:val="17"/>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2"/>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7"/>
          <w:rFonts w:hint="eastAsia" w:hAnsi="宋体" w:cs="宋体"/>
          <w:color w:val="000000" w:themeColor="text1"/>
          <w:highlight w:val="none"/>
          <w14:textFill>
            <w14:solidFill>
              <w14:schemeClr w14:val="tx1"/>
            </w14:solidFill>
          </w14:textFill>
        </w:rPr>
        <w:t>第六篇</w:t>
      </w:r>
      <w:r>
        <w:rPr>
          <w:rStyle w:val="17"/>
          <w:rFonts w:hint="eastAsia" w:hAnsi="宋体" w:cs="宋体"/>
          <w:color w:val="000000" w:themeColor="text1"/>
          <w:highlight w:val="none"/>
          <w:lang w:eastAsia="zh-CN"/>
          <w14:textFill>
            <w14:solidFill>
              <w14:schemeClr w14:val="tx1"/>
            </w14:solidFill>
          </w14:textFill>
        </w:rPr>
        <w:t>响应文件</w:t>
      </w:r>
      <w:r>
        <w:rPr>
          <w:rStyle w:val="17"/>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3"/>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4"/>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住培临床教学管理系统</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5"/>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4"/>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keepNext w:val="0"/>
              <w:keepLines w:val="0"/>
              <w:suppressLineNumbers w:val="0"/>
              <w:spacing w:before="0" w:beforeAutospacing="0" w:after="0" w:afterAutospacing="0" w:line="360" w:lineRule="auto"/>
              <w:ind w:left="0" w:right="0"/>
              <w:jc w:val="center"/>
              <w:rPr>
                <w:rFonts w:hint="default"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keepNext w:val="0"/>
              <w:keepLines w:val="0"/>
              <w:suppressLineNumbers w:val="0"/>
              <w:spacing w:before="0" w:beforeAutospacing="0" w:after="0" w:afterAutospacing="0"/>
              <w:ind w:left="0" w:right="0"/>
              <w:jc w:val="center"/>
              <w:rPr>
                <w:rFonts w:hint="default"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keepNext w:val="0"/>
              <w:keepLines w:val="0"/>
              <w:suppressLineNumbers w:val="0"/>
              <w:spacing w:before="0" w:beforeAutospacing="0" w:after="0" w:afterAutospacing="0"/>
              <w:ind w:left="0" w:right="0"/>
              <w:jc w:val="center"/>
              <w:rPr>
                <w:rFonts w:hint="default"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keepNext w:val="0"/>
              <w:keepLines w:val="0"/>
              <w:suppressLineNumbers w:val="0"/>
              <w:spacing w:before="0" w:beforeAutospacing="0" w:after="0" w:afterAutospacing="0"/>
              <w:ind w:left="0" w:right="0"/>
              <w:jc w:val="center"/>
              <w:rPr>
                <w:rFonts w:hint="default"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keepNext w:val="0"/>
              <w:keepLines w:val="0"/>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住培临床教学管理系统</w:t>
            </w:r>
            <w:r>
              <w:rPr>
                <w:rFonts w:hint="eastAsia" w:hAnsi="宋体" w:cs="宋体"/>
                <w:color w:val="000000" w:themeColor="text1"/>
                <w:sz w:val="24"/>
                <w:szCs w:val="24"/>
                <w:highlight w:val="none"/>
                <w14:textFill>
                  <w14:solidFill>
                    <w14:schemeClr w14:val="tx1"/>
                  </w14:solidFill>
                </w14:textFill>
              </w:rPr>
              <w:t>采购</w:t>
            </w:r>
            <w:bookmarkEnd w:id="9"/>
          </w:p>
        </w:tc>
        <w:tc>
          <w:tcPr>
            <w:tcW w:w="1890" w:type="dxa"/>
            <w:vAlign w:val="center"/>
          </w:tcPr>
          <w:p>
            <w:pPr>
              <w:keepNext w:val="0"/>
              <w:keepLines w:val="0"/>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keepNext w:val="0"/>
              <w:keepLines w:val="0"/>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45</w:t>
            </w:r>
            <w:r>
              <w:rPr>
                <w:rFonts w:hint="eastAsia" w:hAnsi="宋体" w:cs="宋体"/>
                <w:color w:val="000000" w:themeColor="text1"/>
                <w:sz w:val="24"/>
                <w:szCs w:val="24"/>
                <w:highlight w:val="none"/>
                <w14:textFill>
                  <w14:solidFill>
                    <w14:schemeClr w14:val="tx1"/>
                  </w14:solidFill>
                </w14:textFill>
              </w:rPr>
              <w:t xml:space="preserve"> </w:t>
            </w:r>
          </w:p>
        </w:tc>
        <w:tc>
          <w:tcPr>
            <w:tcW w:w="1558" w:type="dxa"/>
            <w:vAlign w:val="center"/>
          </w:tcPr>
          <w:p>
            <w:pPr>
              <w:keepNext w:val="0"/>
              <w:keepLines w:val="0"/>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8"/>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8"/>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5"/>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 xml:space="preserve">无 </w:t>
      </w:r>
      <w:r>
        <w:rPr>
          <w:rFonts w:hint="eastAsia" w:hAnsi="宋体" w:cs="宋体"/>
          <w:color w:val="000000" w:themeColor="text1"/>
          <w:sz w:val="24"/>
          <w:szCs w:val="24"/>
          <w:highlight w:val="none"/>
          <w:lang w:val="en-US" w:eastAsia="zh-CN"/>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12</w:t>
      </w:r>
      <w:r>
        <w:rPr>
          <w:rFonts w:hint="eastAsia" w:hAnsi="宋体" w:cs="宋体"/>
          <w:color w:val="000000" w:themeColor="text1"/>
          <w:sz w:val="24"/>
          <w:szCs w:val="24"/>
          <w:highlight w:val="none"/>
          <w14:textFill>
            <w14:solidFill>
              <w14:schemeClr w14:val="tx1"/>
            </w14:solidFill>
          </w14:textFill>
        </w:rPr>
        <w:t>日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12</w:t>
      </w:r>
      <w:r>
        <w:rPr>
          <w:rFonts w:hint="eastAsia" w:hAnsi="宋体" w:cs="宋体"/>
          <w:color w:val="000000" w:themeColor="text1"/>
          <w:sz w:val="24"/>
          <w:szCs w:val="24"/>
          <w:highlight w:val="none"/>
          <w14:textFill>
            <w14:solidFill>
              <w14:schemeClr w14:val="tx1"/>
            </w14:solidFill>
          </w14:textFill>
        </w:rPr>
        <w:t>日17:30(工作时间)递交到重庆医科大学附属口腔医院(重庆渝北区松石北路426号)综合楼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 88602318）。逾期送达的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定），具体评审时间及地点由医院确定，投标人无须参加。</w:t>
      </w:r>
    </w:p>
    <w:p>
      <w:pPr>
        <w:pStyle w:val="5"/>
        <w:rPr>
          <w:color w:val="000000" w:themeColor="text1"/>
          <w:highlight w:val="none"/>
          <w14:textFill>
            <w14:solidFill>
              <w14:schemeClr w14:val="tx1"/>
            </w14:solidFill>
          </w14:textFill>
        </w:rPr>
      </w:pPr>
      <w:bookmarkStart w:id="14" w:name="_Toc60133133"/>
      <w:bookmarkStart w:id="15" w:name="_Toc98942877"/>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（八）根据</w:t>
      </w:r>
      <w:r>
        <w:rPr>
          <w:rFonts w:hint="eastAsia" w:hAnsi="宋体" w:cs="宋体"/>
          <w:color w:val="000000" w:themeColor="text1"/>
          <w:sz w:val="24"/>
          <w:szCs w:val="24"/>
          <w:highlight w:val="none"/>
          <w:lang w:val="en-US" w:eastAsia="zh-CN"/>
          <w14:textFill>
            <w14:solidFill>
              <w14:schemeClr w14:val="tx1"/>
            </w14:solidFill>
          </w14:textFill>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规定的方式确定一个参加评标的投标人，</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未规定的采取随机抽取方式确定，其他投标无效。</w:t>
      </w:r>
    </w:p>
    <w:p>
      <w:pPr>
        <w:pStyle w:val="5"/>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4"/>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5"/>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1"/>
    </w:p>
    <w:tbl>
      <w:tblPr>
        <w:tblStyle w:val="14"/>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住培临床教学管理系统</w:t>
            </w:r>
          </w:p>
        </w:tc>
        <w:tc>
          <w:tcPr>
            <w:tcW w:w="14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1套</w:t>
            </w:r>
          </w:p>
        </w:tc>
      </w:tr>
    </w:tbl>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2"/>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1.“※”标注的技术需求为符合性审查中的实质性要求，</w:t>
      </w:r>
      <w:r>
        <w:rPr>
          <w:rFonts w:hint="eastAsia" w:ascii="仿宋_GB2312" w:hAnsi="仿宋_GB2312" w:eastAsia="仿宋_GB2312" w:cs="仿宋_GB2312"/>
          <w:color w:val="000000" w:themeColor="text1"/>
          <w:sz w:val="24"/>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4"/>
          <w:szCs w:val="28"/>
          <w:highlight w:val="none"/>
          <w14:textFill>
            <w14:solidFill>
              <w14:schemeClr w14:val="tx1"/>
            </w14:solidFill>
          </w14:textFill>
        </w:rPr>
        <w:t>若不满足按无效投标处理；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2.“*”标注的技术需求为重要技术需求，</w:t>
      </w:r>
      <w:r>
        <w:rPr>
          <w:rFonts w:hint="eastAsia" w:ascii="仿宋_GB2312" w:hAnsi="仿宋_GB2312" w:eastAsia="仿宋_GB2312" w:cs="仿宋_GB2312"/>
          <w:color w:val="000000" w:themeColor="text1"/>
          <w:sz w:val="24"/>
          <w:szCs w:val="28"/>
          <w:highlight w:val="none"/>
          <w14:textFill>
            <w14:solidFill>
              <w14:schemeClr w14:val="tx1"/>
            </w14:solidFill>
          </w14:textFill>
        </w:rPr>
        <w:t>需提供截图佐证材料</w:t>
      </w:r>
      <w:r>
        <w:rPr>
          <w:rFonts w:hint="eastAsia" w:ascii="仿宋_GB2312" w:hAnsi="仿宋_GB2312" w:eastAsia="仿宋_GB2312" w:cs="仿宋_GB2312"/>
          <w:color w:val="000000" w:themeColor="text1"/>
          <w:sz w:val="24"/>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8"/>
          <w:highlight w:val="none"/>
          <w14:textFill>
            <w14:solidFill>
              <w14:schemeClr w14:val="tx1"/>
            </w14:solidFill>
          </w14:textFill>
        </w:rPr>
        <w:t>若不满足将按照评标因素中相关规定处理；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3.应答要求有规定的须提供相应支撑材料，须按规定提供且注明投标书对应页码；</w:t>
      </w:r>
    </w:p>
    <w:p>
      <w:pPr>
        <w:rPr>
          <w:rFonts w:ascii="Arial" w:hAnsi="Arial"/>
          <w:b/>
          <w:bCs/>
          <w:color w:val="000000" w:themeColor="text1"/>
          <w:kern w:val="2"/>
          <w:sz w:val="28"/>
          <w:szCs w:val="32"/>
          <w:highlight w:val="none"/>
          <w14:textFill>
            <w14:solidFill>
              <w14:schemeClr w14:val="tx1"/>
            </w14:solidFill>
          </w14:textFill>
        </w:rPr>
      </w:pPr>
      <w:r>
        <w:rPr>
          <w:rFonts w:hint="eastAsia" w:ascii="Arial" w:hAnsi="Arial"/>
          <w:b/>
          <w:bCs/>
          <w:color w:val="000000" w:themeColor="text1"/>
          <w:kern w:val="2"/>
          <w:sz w:val="28"/>
          <w:szCs w:val="32"/>
          <w:highlight w:val="none"/>
          <w14:textFill>
            <w14:solidFill>
              <w14:schemeClr w14:val="tx1"/>
            </w14:solidFill>
          </w14:textFill>
        </w:rPr>
        <w:t>技术要求</w:t>
      </w:r>
    </w:p>
    <w:tbl>
      <w:tblPr>
        <w:tblStyle w:val="14"/>
        <w:tblpPr w:leftFromText="180" w:rightFromText="180" w:vertAnchor="text" w:horzAnchor="margin" w:tblpY="225"/>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0"/>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keepNext w:val="0"/>
              <w:keepLines w:val="0"/>
              <w:suppressLineNumbers w:val="0"/>
              <w:bidi w:val="0"/>
              <w:spacing w:before="0" w:beforeAutospacing="0" w:after="0" w:afterAutospacing="0"/>
              <w:ind w:left="0" w:right="0"/>
              <w:jc w:val="center"/>
              <w:rPr>
                <w:rFonts w:hint="default"/>
                <w:color w:val="000000" w:themeColor="text1"/>
                <w:sz w:val="24"/>
                <w:szCs w:val="24"/>
                <w:highlight w:val="none"/>
                <w:lang w:val="en-US" w:eastAsia="zh-CN"/>
                <w14:textFill>
                  <w14:solidFill>
                    <w14:schemeClr w14:val="tx1"/>
                  </w14:solidFill>
                </w14:textFill>
              </w:rPr>
            </w:pPr>
            <w:bookmarkStart w:id="23" w:name="_Toc98942882"/>
            <w:bookmarkStart w:id="24" w:name="_Toc19113858"/>
            <w:bookmarkStart w:id="25" w:name="_Toc267320049"/>
            <w:r>
              <w:rPr>
                <w:rFonts w:hint="eastAsia"/>
                <w:color w:val="000000" w:themeColor="text1"/>
                <w:sz w:val="24"/>
                <w:szCs w:val="24"/>
                <w:highlight w:val="none"/>
                <w:lang w:val="en-US" w:eastAsia="zh-CN"/>
                <w14:textFill>
                  <w14:solidFill>
                    <w14:schemeClr w14:val="tx1"/>
                  </w14:solidFill>
                </w14:textFill>
              </w:rPr>
              <w:t>序号</w:t>
            </w:r>
          </w:p>
        </w:tc>
        <w:tc>
          <w:tcPr>
            <w:tcW w:w="1310" w:type="dxa"/>
            <w:vAlign w:val="center"/>
          </w:tcPr>
          <w:p>
            <w:pPr>
              <w:keepNext w:val="0"/>
              <w:keepLines w:val="0"/>
              <w:suppressLineNumbers w:val="0"/>
              <w:bidi w:val="0"/>
              <w:spacing w:before="0" w:beforeAutospacing="0" w:after="0" w:afterAutospacing="0"/>
              <w:ind w:left="0" w:right="0"/>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功能模块</w:t>
            </w:r>
          </w:p>
        </w:tc>
        <w:tc>
          <w:tcPr>
            <w:tcW w:w="7073" w:type="dxa"/>
            <w:vAlign w:val="center"/>
          </w:tcPr>
          <w:p>
            <w:pPr>
              <w:keepNext w:val="0"/>
              <w:keepLines w:val="0"/>
              <w:suppressLineNumbers w:val="0"/>
              <w:bidi w:val="0"/>
              <w:spacing w:before="0" w:beforeAutospacing="0" w:after="0" w:afterAutospacing="0"/>
              <w:ind w:left="0" w:right="0"/>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总体要求</w:t>
            </w:r>
          </w:p>
        </w:tc>
        <w:tc>
          <w:tcPr>
            <w:tcW w:w="7073" w:type="dxa"/>
            <w:vAlign w:val="center"/>
          </w:tcPr>
          <w:p>
            <w:pPr>
              <w:keepNext w:val="0"/>
              <w:keepLines w:val="0"/>
              <w:suppressLineNumbers w:val="0"/>
              <w:bidi w:val="0"/>
              <w:spacing w:before="0" w:beforeAutospacing="0" w:after="0" w:afterAutospacing="0"/>
              <w:ind w:left="0" w:right="0"/>
              <w:jc w:val="left"/>
              <w:rPr>
                <w:rFonts w:hint="default"/>
                <w:color w:val="000000" w:themeColor="text1"/>
                <w:sz w:val="24"/>
                <w:szCs w:val="24"/>
                <w:highlight w:val="none"/>
                <w14:textFill>
                  <w14:solidFill>
                    <w14:schemeClr w14:val="tx1"/>
                  </w14:solidFill>
                </w14:textFill>
              </w:rPr>
            </w:pPr>
            <w:r>
              <w:rPr>
                <w:rFonts w:hint="eastAsia" w:ascii="Times New Roman" w:eastAsia="宋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平台基于B/S网络架构，支持PC端及移动端，致少支持1000个以上客户端同时上线访问服务器，支持用户和用户组权限统一设置维护；支持各教学管理模块运行在统一平台，数据共享。</w:t>
            </w:r>
            <w:r>
              <w:rPr>
                <w:rFonts w:hint="eastAsia"/>
                <w:color w:val="000000" w:themeColor="text1"/>
                <w:sz w:val="24"/>
                <w:szCs w:val="24"/>
                <w:highlight w:val="none"/>
                <w14:textFill>
                  <w14:solidFill>
                    <w14:schemeClr w14:val="tx1"/>
                  </w14:solidFill>
                </w14:textFill>
              </w:rPr>
              <w:t>（需提供截图作佐证）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系统设置</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科室管理支持树形多层级结构分布，科室树结构至少支持到5层。可将科室分成多个带教组，可设置轮转容量，发布科室介绍，允许一个科室秘书管理多个不同科室。支持为管理人员配置不同的分管科室，方便管理不同的科室及人员；</w:t>
            </w:r>
            <w:r>
              <w:rPr>
                <w:rFonts w:hint="eastAsia"/>
                <w:color w:val="000000" w:themeColor="text1"/>
                <w:sz w:val="24"/>
                <w:szCs w:val="24"/>
                <w:highlight w:val="none"/>
                <w14:textFill>
                  <w14:solidFill>
                    <w14:schemeClr w14:val="tx1"/>
                  </w14:solidFill>
                </w14:textFill>
              </w:rPr>
              <w:t>（需提供系统截图作佐证）</w:t>
            </w:r>
          </w:p>
          <w:p>
            <w:pPr>
              <w:keepNext w:val="0"/>
              <w:keepLines w:val="0"/>
              <w:suppressLineNumbers w:val="0"/>
              <w:bidi w:val="0"/>
              <w:spacing w:before="0" w:beforeAutospacing="0" w:after="0" w:afterAutospacing="0"/>
              <w:ind w:left="0" w:right="0"/>
              <w:jc w:val="left"/>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2.支持基地和科室群组管理，可单独为基地、科室、督导建立不同群组，可将多个专业基地设为一个基地组，配置教学小组，将多个科室设置为一个科室组，配置带教小组；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通知提醒</w:t>
            </w: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1.支持配置各类提醒功能的开关起停用状态，需要支持对学员、带教老师、科室秘书等多种角色进行提醒；</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2.根据不同的角色在首页显示不同的待办工作，应包含今日日程、待办工作、审核待办功能，方便管理人员及时掌握自己应处理的工作事项；</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3.支持微信服务通知模式，支持教学活动、考勤、出科申请等至少15种业务的微信通知服务，是否使用微信通知可逐项开关设置起停用状态，方便院方自定义选用。（需提供系统截图作佐证）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1310" w:type="dxa"/>
            <w:vAlign w:val="center"/>
          </w:tcPr>
          <w:p>
            <w:pPr>
              <w:keepNext w:val="0"/>
              <w:keepLines w:val="0"/>
              <w:suppressLineNumbers w:val="0"/>
              <w:bidi w:val="0"/>
              <w:spacing w:before="0" w:beforeAutospacing="0" w:after="0" w:afterAutospacing="0"/>
              <w:ind w:left="0" w:right="0"/>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人员管理</w:t>
            </w: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轮转生涯：汇总记录学员的详细轮转生涯情况，除轮转科室、出入科时间、带教老师等信息外，还能记录学员的毕结业情况、表彰奖励情况、差错事故情况、论文文章及证书记录等。同时需记录与导师的师生定期互动记录；</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2.支持登记学员各类平时成绩，可单独登记学员年度考核、季度考核、月度考核分项成绩，支持单独登记执业医师资格证考试成绩，支持自定义分类考试成绩登记；</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3.支持管理部门批量导出多学员的照片附件，批量导出的人员名单可筛选范围，导出的压缩包文件中包含的照片文件名需支持管理人员自定义；</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4.支持学员档案汇总生涯页面，在一个页面中显示学员档案综合信息。支持将学员档案直接导出生成在一份word文档中，该文档需包含学员的完整轮转生涯，以及参加的教学活动清单；</w:t>
            </w:r>
            <w:r>
              <w:rPr>
                <w:rFonts w:hint="eastAsia"/>
                <w:color w:val="000000" w:themeColor="text1"/>
                <w:sz w:val="24"/>
                <w:szCs w:val="24"/>
                <w:highlight w:val="none"/>
                <w14:textFill>
                  <w14:solidFill>
                    <w14:schemeClr w14:val="tx1"/>
                  </w14:solidFill>
                </w14:textFill>
              </w:rPr>
              <w:t>（需提供系统截图作佐证）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师资生涯：汇总记录师资的详细师资聘用解聘及教学情况，除带教学员记录、导师指导记录外，还能记录师资的培训进修情况、教学聘任情况、表彰奖励情况、差错事故情况、论文文章及证书记录等。同时需记录与指导学生的师生定期互动记录；</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6.支持各类人员统计报表，需支持统计在岗的学员人数、师资人数，能按月显示人员进出和变化情况，支持汇总学员的轮转生涯统计，汇总师资的带教生涯统计；</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7.支持学员自行申请责任导师，支持申请优先第一人、顺位第二人，支持调剂，可统计各个导师的申请热度。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轮转管理</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系统内置西医2022国家标准、西医2014国家标准、西医2020重症医学科标准、西医2020助理全科国家标准、西医2019全科标准、西医2019全科转岗标准，支持不同参培年份的学员使用不同标准，可适配国家、省及自定义培训细则内容；（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智能排班：系统内置智能排版模块，支持按周/半月/月进行轮转排班；支持结合轮转排班模板、科室负载情况自动排班。支持排班结果微调后再发布，支持备份/还原/调整排班结果，支持批量调整后一次性发布；（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3.支持轮转计划批量导入，支持横排轮、竖排轮转计划格式导入，支持导入时由用户自行选择是否覆盖亦或清除，支持导入时由用户自行确定是否需要合并相同的轮转计划为一条；</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4.支持微调轮转计划，通过上下移或拖拽方式进行调整、支持轮转计划拆分、合并，支持学员轮转过程中阶段出科；</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支持自行配置出科的各类成绩项，可设置成绩项是否使用、是否必填才允许出科。支持设置成绩项权重，支持按权重自动计算出科总成绩。支持设置自定义成绩项，学员综合成绩只显示启用的成绩项，出科鉴定表能直观实时体现自定义成绩项；</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6.支持每个成绩项都可以上传佐证附件，并支持上传多个附件。支持配置教学小组并指定组长，支持配置签名，导出学员的轮转记录Word文档自动附带教学小组组长签字；</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7.支持学员自行登录管理后台维护和管理电子轮转手册，支持自行录入和批量导入电子轮转手册记录，支持学员直接查看轮转是否已经达到国家轮转大纲及细则规定的数量要求，支持直接查看国家轮转大纲及细则的手册；（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8.支持批量导出学员的全部轮转记录为一份Word，用于向相关单位申请结业。导出的具体章节内容可自行选择，至少应包含出科申请、出科小结、带教评语、出科考核结果、过程记录、教学活动记录，出科附件、病历书写照片等，支持自行选择是否导出全部轮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数据统计</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1.支持学员自行登记电子轮转手册（登记手册），支持登记病种、技能、手术，支持因轮转计划调整导致的异常数据手工调整重新匹配到国家标准的细则要求项目；（需提供系统截图作佐证）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2.支持住培过程数据自动上报功能，满足主管单位数据收集要求，支持异常数据更新维护及重新上报；</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根据树形科室上下级报表统计需要，应支持下级科室的统计数据合并到上级科室数据、下级科室的数据单独体现与上级科室数据相互独立、上级数据自动虚拟为下一级单列数据上级数据合并下级所有科室数据等3种统计结果。（需提供系统截图作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教学活动管理</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1.教学活动类别可配置，支持配置病例讨论、教学查房、小讲课等不同教学活动类别各自的参数，支持自定义教学活动类别对应为国家标准教学活动类别；（需提供系统截图作佐证）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支持按教学活动类别配合不同的达标计算因子，自动计算达标。达标计算因子至少应包括签到率要求、现场照片数量要求、测评率要求等。达标教学活动展示时能与普通教学活动有明显区别，引导教学实施部门踊跃举办教学活动；（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3.支持全院公示标杆教学活动，并支持对公示活动进行留言及互动；</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4.支持动态二维码/静态二维码2种二维码生成方式，实现防伪及防止非现场扫码签到；</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5.支持各类课件和教案直接在线预览，需支持PDF、Word、Excel、PPT文档的在线预览；</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6.教学管理支持学员教员参活次数、教学类别次数年报等至少10种不同统计口径的月年报统计报表。（需提供系统截图作佐证）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1310" w:type="dxa"/>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督导管理</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1.支持进行多种形式的督导，主要包括教学督导、科室督导、出科督导等；</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2.支持配置督导专家组，并指定专家组成员。支持批量、随机指定督导专家；（需提供系统截图作佐证）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3.支持在线填写整改报告，督导专家可审核并确认整改情况，支持导出督导报告。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vAlign w:val="center"/>
          </w:tcPr>
          <w:p>
            <w:pPr>
              <w:keepNext w:val="0"/>
              <w:keepLines w:val="0"/>
              <w:suppressLineNumbers w:val="0"/>
              <w:bidi w:val="0"/>
              <w:spacing w:before="0" w:beforeAutospacing="0" w:after="0" w:afterAutospacing="0"/>
              <w:ind w:left="0" w:right="0"/>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考勤请假管理</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1.支持跨天打卡考勤，第一天晚上打卡签到跨到第二天能自动提示签退；</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2.支持设置是否允许补考勤，设置每周允许补考勤的次数，设置未排考勤班次时能自由打卡等各类考勤细节控制参数；</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3.支持扫码打卡(支持一天双卡，一天四卡)和定位打卡，支持可根据不同的考勤班次单独为每个班次设定是采用扫码打卡还是定位打卡，或者两者都用；</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4.支持自定义请假类型，每个请假类型可配置多个请假审核流程，每个流程都支持多角色审核；</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5.请假可关联补轮转计划，如果请假时间较长能自动追加请假时的轮转计划，以便达到国家规定的轮转时长要求；（需提供系统截图作佐证）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6.可自定义请假审核流程，根据请假天数设置不同的审核人员和审核环节，支持维护请假规定、安全协议等；（需提供系统截图作佐证）</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7.支持上报/审核学员月度考勤数据。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keepNext w:val="0"/>
              <w:keepLines w:val="0"/>
              <w:suppressLineNumbers w:val="0"/>
              <w:bidi w:val="0"/>
              <w:spacing w:before="0" w:beforeAutospacing="0" w:after="0" w:afterAutospacing="0"/>
              <w:ind w:left="0" w:right="0"/>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1310" w:type="dxa"/>
            <w:vAlign w:val="center"/>
          </w:tcPr>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师资管理</w:t>
            </w:r>
          </w:p>
          <w:p>
            <w:pPr>
              <w:keepNext w:val="0"/>
              <w:keepLines w:val="0"/>
              <w:suppressLineNumbers w:val="0"/>
              <w:bidi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1.基地秘书科对教员提交的师资申请进行初步审核，并支持对在聘中的师资进行解聘申请；</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2.管理师资信息，查看和管理院内所有师资信息、师聘记录、解聘记录；</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3.支持对教员提交的师资申请进行最终审核。支持对基地秘书提交的解聘申请进行审核；支持直接对师资进行解聘操作。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keepNext w:val="0"/>
              <w:keepLines w:val="0"/>
              <w:suppressLineNumbers w:val="0"/>
              <w:bidi w:val="0"/>
              <w:spacing w:before="0" w:beforeAutospacing="0" w:after="0" w:afterAutospacing="0"/>
              <w:ind w:left="0" w:right="0"/>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11</w:t>
            </w:r>
          </w:p>
        </w:tc>
        <w:tc>
          <w:tcPr>
            <w:tcW w:w="1310" w:type="dxa"/>
            <w:vAlign w:val="center"/>
          </w:tcPr>
          <w:p>
            <w:pPr>
              <w:keepNext w:val="0"/>
              <w:keepLines w:val="0"/>
              <w:suppressLineNumbers w:val="0"/>
              <w:bidi w:val="0"/>
              <w:spacing w:before="0" w:beforeAutospacing="0" w:after="0" w:afterAutospacing="0"/>
              <w:ind w:left="0" w:right="0"/>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结业管理</w:t>
            </w:r>
          </w:p>
        </w:tc>
        <w:tc>
          <w:tcPr>
            <w:tcW w:w="7073" w:type="dxa"/>
            <w:shd w:val="clear" w:color="auto" w:fill="auto"/>
            <w:vAlign w:val="center"/>
          </w:tcPr>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结业管理</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1.支持学员发起毕结业申请，登记毕结业日期，就业去向，去向单位等信息。支持查询毕结业申请记录；</w:t>
            </w:r>
          </w:p>
          <w:p>
            <w:pPr>
              <w:keepNext w:val="0"/>
              <w:keepLines w:val="0"/>
              <w:suppressLineNumbers w:val="0"/>
              <w:bidi w:val="0"/>
              <w:spacing w:before="0" w:beforeAutospacing="0" w:after="0" w:afterAutospacing="0"/>
              <w:ind w:left="0" w:right="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2.可查询一个月、三个月、六个月内即将毕业的人员名单，用于科教管理部门提前准备结业相关事宜。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keepNext w:val="0"/>
              <w:keepLines w:val="0"/>
              <w:suppressLineNumbers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w:t>
            </w:r>
          </w:p>
        </w:tc>
        <w:tc>
          <w:tcPr>
            <w:tcW w:w="1310" w:type="dxa"/>
            <w:vAlign w:val="center"/>
          </w:tcPr>
          <w:p>
            <w:pPr>
              <w:keepNext w:val="0"/>
              <w:keepLines w:val="0"/>
              <w:suppressLineNumbers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数字教材</w:t>
            </w:r>
          </w:p>
        </w:tc>
        <w:tc>
          <w:tcPr>
            <w:tcW w:w="7073" w:type="dxa"/>
            <w:shd w:val="clear" w:color="auto" w:fill="auto"/>
            <w:vAlign w:val="center"/>
          </w:tcPr>
          <w:p>
            <w:pPr>
              <w:keepNext w:val="0"/>
              <w:keepLines w:val="0"/>
              <w:suppressLineNumbers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包含临床医学本科52门数字化教材，总文字量不少于5000万字，高清多媒体图片不少于20000张。二维、三维动画不少于800段，高清医学视频不少于1000段。病例、案例分析不少于500个。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keepNext w:val="0"/>
              <w:keepLines w:val="0"/>
              <w:suppressLineNumbers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w:t>
            </w:r>
          </w:p>
        </w:tc>
        <w:tc>
          <w:tcPr>
            <w:tcW w:w="1310" w:type="dxa"/>
            <w:vAlign w:val="center"/>
          </w:tcPr>
          <w:p>
            <w:pPr>
              <w:keepNext w:val="0"/>
              <w:keepLines w:val="0"/>
              <w:suppressLineNumbers w:val="0"/>
              <w:spacing w:before="0" w:beforeAutospacing="0" w:after="0" w:afterAutospacing="0"/>
              <w:ind w:left="0" w:right="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医学数据库</w:t>
            </w:r>
          </w:p>
        </w:tc>
        <w:tc>
          <w:tcPr>
            <w:tcW w:w="7073" w:type="dxa"/>
            <w:shd w:val="clear" w:color="auto" w:fill="auto"/>
            <w:vAlign w:val="center"/>
          </w:tcPr>
          <w:p>
            <w:pPr>
              <w:keepNext w:val="0"/>
              <w:keepLines w:val="0"/>
              <w:suppressLineNumbers w:val="0"/>
              <w:spacing w:before="0" w:beforeAutospacing="0" w:after="0" w:afterAutospacing="0"/>
              <w:ind w:left="0" w:right="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包含疾病数据库、药品数据库、手术学数据库、辅助检查库、循证证据库、疾病进展库、手术图谱库、医保药品库、临床操作规范库等任意不少于6个数据库；数据库总文字量不少于5000万字。高清图谱不少于1万幅；数据库内每种药品均应包含药品名称，英文名称，别名，类型，剂型， 药物原理，药物效果，适应症，禁忌症，注意事项，不良反应，用法用量，药物相关作用，专家评论等数据索引，可快速切换，精确查找。每个疾病均有疾病名称，英文名称，类别，ICD 号，概述，流行病学，病因，发病机制，临床表现，并发症，实验室检查，其他辅助检查，诊断，鉴别诊断，治疗，预后，预防等数据索引，支持精确查找，快速定位。数据库中疾病药品或规范均支持收藏，可反复查看学习，巩固知识。（需提供系统截图作佐证）</w:t>
            </w:r>
          </w:p>
        </w:tc>
      </w:tr>
    </w:tbl>
    <w:p>
      <w:pPr>
        <w:rPr>
          <w:rFonts w:hint="default" w:ascii="Arial" w:hAnsi="Arial"/>
          <w:b/>
          <w:bCs/>
          <w:color w:val="000000" w:themeColor="text1"/>
          <w:kern w:val="2"/>
          <w:sz w:val="28"/>
          <w:szCs w:val="32"/>
          <w:highlight w:val="none"/>
          <w:lang w:val="en-US" w:eastAsia="zh-CN"/>
          <w14:textFill>
            <w14:solidFill>
              <w14:schemeClr w14:val="tx1"/>
            </w14:solidFill>
          </w14:textFill>
        </w:rPr>
      </w:pPr>
      <w:r>
        <w:rPr>
          <w:rFonts w:hint="eastAsia" w:ascii="Arial" w:hAnsi="Arial"/>
          <w:b/>
          <w:bCs/>
          <w:color w:val="000000" w:themeColor="text1"/>
          <w:kern w:val="2"/>
          <w:sz w:val="28"/>
          <w:szCs w:val="32"/>
          <w:highlight w:val="none"/>
          <w:lang w:val="en-US" w:eastAsia="zh-CN"/>
          <w14:textFill>
            <w14:solidFill>
              <w14:schemeClr w14:val="tx1"/>
            </w14:solidFill>
          </w14:textFill>
        </w:rPr>
        <w:t>服务要求</w:t>
      </w:r>
    </w:p>
    <w:p>
      <w:pPr>
        <w:pStyle w:val="2"/>
        <w:numPr>
          <w:ilvl w:val="0"/>
          <w:numId w:val="0"/>
        </w:numPr>
        <w:ind w:firstLine="480" w:firstLineChars="200"/>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根据技术要求提供实施方案，包括但不限于：项目建设背景思路、总体设计、系统部署要求等内容。</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rPr>
          <w:rFonts w:hint="eastAsia"/>
          <w:color w:val="000000" w:themeColor="text1"/>
          <w:highlight w:val="none"/>
          <w14:textFill>
            <w14:solidFill>
              <w14:schemeClr w14:val="tx1"/>
            </w14:solidFill>
          </w14:textFill>
        </w:rPr>
      </w:pPr>
    </w:p>
    <w:p>
      <w:pPr>
        <w:pStyle w:val="4"/>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“※”标注的商务需求为符合性审查中的实质性要求，</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若不满足按无效投标处理</w:t>
      </w:r>
    </w:p>
    <w:p>
      <w:pPr>
        <w:pStyle w:val="5"/>
        <w:spacing w:line="360" w:lineRule="auto"/>
        <w:rPr>
          <w:color w:val="000000" w:themeColor="text1"/>
          <w:highlight w:val="none"/>
          <w14:textFill>
            <w14:solidFill>
              <w14:schemeClr w14:val="tx1"/>
            </w14:solidFill>
          </w14:textFill>
        </w:rPr>
      </w:pPr>
      <w:bookmarkStart w:id="27" w:name="_Toc98942883"/>
      <w:r>
        <w:rPr>
          <w:rFonts w:hint="eastAsia"/>
          <w:color w:val="000000" w:themeColor="text1"/>
          <w:highlight w:val="none"/>
          <w14:textFill>
            <w14:solidFill>
              <w14:schemeClr w14:val="tx1"/>
            </w14:solidFill>
          </w14:textFill>
        </w:rPr>
        <w:t>一、交货期、交货地点及验收方式</w:t>
      </w:r>
      <w:bookmarkEnd w:id="27"/>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5"/>
        <w:rPr>
          <w:color w:val="000000" w:themeColor="text1"/>
          <w:highlight w:val="none"/>
          <w14:textFill>
            <w14:solidFill>
              <w14:schemeClr w14:val="tx1"/>
            </w14:solidFill>
          </w14:textFill>
        </w:rPr>
      </w:pPr>
      <w:bookmarkStart w:id="28" w:name="_Toc505608530"/>
      <w:bookmarkStart w:id="29" w:name="_Toc98942884"/>
      <w:bookmarkStart w:id="30" w:name="_Toc267320050"/>
      <w:r>
        <w:rPr>
          <w:rFonts w:hint="eastAsia"/>
          <w:color w:val="000000" w:themeColor="text1"/>
          <w:highlight w:val="none"/>
          <w14:textFill>
            <w14:solidFill>
              <w14:schemeClr w14:val="tx1"/>
            </w14:solidFill>
          </w14:textFill>
        </w:rPr>
        <w:t>二、报价要求</w:t>
      </w:r>
      <w:bookmarkEnd w:id="28"/>
      <w:bookmarkEnd w:id="29"/>
    </w:p>
    <w:p>
      <w:pPr>
        <w:snapToGrid w:val="0"/>
        <w:spacing w:line="360" w:lineRule="auto"/>
        <w:ind w:firstLine="480" w:firstLineChars="200"/>
        <w:rPr>
          <w:color w:val="000000" w:themeColor="text1"/>
          <w:sz w:val="24"/>
          <w:highlight w:val="none"/>
          <w14:textFill>
            <w14:solidFill>
              <w14:schemeClr w14:val="tx1"/>
            </w14:solidFill>
          </w14:textFill>
        </w:rPr>
      </w:pPr>
      <w:bookmarkStart w:id="31"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5"/>
        <w:rPr>
          <w:color w:val="000000" w:themeColor="text1"/>
          <w:highlight w:val="none"/>
          <w14:textFill>
            <w14:solidFill>
              <w14:schemeClr w14:val="tx1"/>
            </w14:solidFill>
          </w14:textFill>
        </w:rPr>
      </w:pPr>
      <w:bookmarkStart w:id="32" w:name="_Toc98942885"/>
      <w:r>
        <w:rPr>
          <w:rFonts w:hint="eastAsia"/>
          <w:color w:val="000000" w:themeColor="text1"/>
          <w:highlight w:val="none"/>
          <w14:textFill>
            <w14:solidFill>
              <w14:schemeClr w14:val="tx1"/>
            </w14:solidFill>
          </w14:textFill>
        </w:rPr>
        <w:t>三、质量保证及售后服务</w:t>
      </w:r>
      <w:bookmarkEnd w:id="30"/>
      <w:bookmarkEnd w:id="31"/>
      <w:bookmarkEnd w:id="32"/>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两</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p>
    <w:p>
      <w:pPr>
        <w:snapToGrid w:val="0"/>
        <w:spacing w:line="360" w:lineRule="auto"/>
        <w:ind w:firstLine="480" w:firstLineChars="2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3.1.6.特殊保障：（1）以上技术参数内提供的功能在质保期均可正常使用。（2）如有重大事件或其他重要活动期间，可专门安排值班，同时做好应急准备工作，必要时安排专人现场值班，以确保系统正常运行。</w:t>
      </w:r>
    </w:p>
    <w:p>
      <w:pPr>
        <w:snapToGrid w:val="0"/>
        <w:spacing w:line="360" w:lineRule="auto"/>
        <w:ind w:firstLine="480" w:firstLineChars="2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3.1.7.软件免费升级：根据实际需求及产品迭代计划定期对产品功能、性能进行迭代更新。</w:t>
      </w:r>
    </w:p>
    <w:p>
      <w:pPr>
        <w:keepNext w:val="0"/>
        <w:keepLines w:val="0"/>
        <w:widowControl w:val="0"/>
        <w:suppressLineNumbers w:val="0"/>
        <w:spacing w:before="0" w:beforeAutospacing="0" w:after="0" w:afterAutospacing="0"/>
        <w:ind w:left="0" w:right="0" w:firstLine="480" w:firstLineChars="200"/>
        <w:jc w:val="both"/>
        <w:outlineLvl w:val="1"/>
        <w:rPr>
          <w:rFonts w:hint="default"/>
          <w:color w:val="000000" w:themeColor="text1"/>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3.1.8.保密：对于系统内涉及采购人的所有信息均负有保密义务，未经事先书面同意，供应商不得以任何形式向第三方披露（各方必要员工及法律顾问、财务顾问除外）。</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w:t>
      </w:r>
      <w:r>
        <w:rPr>
          <w:rFonts w:hint="eastAsia"/>
          <w:color w:val="000000" w:themeColor="text1"/>
          <w:sz w:val="24"/>
          <w:highlight w:val="none"/>
          <w:lang w:val="en-US" w:eastAsia="zh-CN"/>
          <w14:textFill>
            <w14:solidFill>
              <w14:schemeClr w14:val="tx1"/>
            </w14:solidFill>
          </w14:textFill>
        </w:rPr>
        <w:t>维保</w:t>
      </w:r>
      <w:r>
        <w:rPr>
          <w:rFonts w:hint="eastAsia"/>
          <w:color w:val="000000" w:themeColor="text1"/>
          <w:sz w:val="24"/>
          <w:highlight w:val="none"/>
          <w14:textFill>
            <w14:solidFill>
              <w14:schemeClr w14:val="tx1"/>
            </w14:solidFill>
          </w14:textFill>
        </w:rPr>
        <w:t>服务</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每年</w:t>
      </w:r>
      <w:r>
        <w:rPr>
          <w:rFonts w:hint="eastAsia"/>
          <w:color w:val="000000" w:themeColor="text1"/>
          <w:sz w:val="24"/>
          <w:highlight w:val="none"/>
          <w:lang w:eastAsia="zh-CN"/>
          <w14:textFill>
            <w14:solidFill>
              <w14:schemeClr w14:val="tx1"/>
            </w14:solidFill>
          </w14:textFill>
        </w:rPr>
        <w:t>维保</w:t>
      </w:r>
      <w:r>
        <w:rPr>
          <w:rFonts w:hint="eastAsia"/>
          <w:color w:val="000000" w:themeColor="text1"/>
          <w:sz w:val="24"/>
          <w:highlight w:val="none"/>
          <w:lang w:val="en-US" w:eastAsia="zh-CN"/>
          <w14:textFill>
            <w14:solidFill>
              <w14:schemeClr w14:val="tx1"/>
            </w14:solidFill>
          </w14:textFill>
        </w:rPr>
        <w:t>服务</w:t>
      </w:r>
      <w:r>
        <w:rPr>
          <w:rFonts w:hint="eastAsia"/>
          <w:color w:val="000000" w:themeColor="text1"/>
          <w:sz w:val="24"/>
          <w:highlight w:val="none"/>
          <w:lang w:eastAsia="zh-CN"/>
          <w14:textFill>
            <w14:solidFill>
              <w14:schemeClr w14:val="tx1"/>
            </w14:solidFill>
          </w14:textFill>
        </w:rPr>
        <w:t>金额不高于</w:t>
      </w:r>
      <w:r>
        <w:rPr>
          <w:rFonts w:hint="eastAsia"/>
          <w:color w:val="000000" w:themeColor="text1"/>
          <w:sz w:val="24"/>
          <w:highlight w:val="none"/>
          <w:lang w:val="en-US" w:eastAsia="zh-CN"/>
          <w14:textFill>
            <w14:solidFill>
              <w14:schemeClr w14:val="tx1"/>
            </w14:solidFill>
          </w14:textFill>
        </w:rPr>
        <w:t>本项目</w:t>
      </w:r>
      <w:r>
        <w:rPr>
          <w:rFonts w:hint="eastAsia"/>
          <w:color w:val="000000" w:themeColor="text1"/>
          <w:sz w:val="24"/>
          <w:highlight w:val="none"/>
          <w:lang w:eastAsia="zh-CN"/>
          <w14:textFill>
            <w14:solidFill>
              <w14:schemeClr w14:val="tx1"/>
            </w14:solidFill>
          </w14:textFill>
        </w:rPr>
        <w:t>最终成交</w:t>
      </w:r>
      <w:r>
        <w:rPr>
          <w:rFonts w:hint="eastAsia"/>
          <w:color w:val="000000" w:themeColor="text1"/>
          <w:sz w:val="24"/>
          <w:highlight w:val="none"/>
          <w:lang w:val="en-US" w:eastAsia="zh-CN"/>
          <w14:textFill>
            <w14:solidFill>
              <w14:schemeClr w14:val="tx1"/>
            </w14:solidFill>
          </w14:textFill>
        </w:rPr>
        <w:t>总</w:t>
      </w:r>
      <w:r>
        <w:rPr>
          <w:rFonts w:hint="eastAsia"/>
          <w:color w:val="000000" w:themeColor="text1"/>
          <w:sz w:val="24"/>
          <w:highlight w:val="none"/>
          <w:lang w:eastAsia="zh-CN"/>
          <w14:textFill>
            <w14:solidFill>
              <w14:schemeClr w14:val="tx1"/>
            </w14:solidFill>
          </w14:textFill>
        </w:rPr>
        <w:t>价</w:t>
      </w:r>
      <w:r>
        <w:rPr>
          <w:rFonts w:hint="eastAsia"/>
          <w:color w:val="000000" w:themeColor="text1"/>
          <w:sz w:val="24"/>
          <w:highlight w:val="none"/>
          <w:lang w:eastAsia="zh-CN"/>
          <w14:textFill>
            <w14:solidFill>
              <w14:schemeClr w14:val="tx1"/>
            </w14:solidFill>
          </w14:textFill>
        </w:rPr>
        <w:t>的10%</w:t>
      </w:r>
      <w:r>
        <w:rPr>
          <w:rFonts w:hint="eastAsia"/>
          <w:color w:val="000000" w:themeColor="text1"/>
          <w:sz w:val="24"/>
          <w:highlight w:val="none"/>
          <w14:textFill>
            <w14:solidFill>
              <w14:schemeClr w14:val="tx1"/>
            </w14:solidFill>
          </w14:textFill>
        </w:rPr>
        <w:t>。</w:t>
      </w:r>
    </w:p>
    <w:p>
      <w:pPr>
        <w:pStyle w:val="5"/>
        <w:rPr>
          <w:color w:val="000000" w:themeColor="text1"/>
          <w:highlight w:val="none"/>
          <w14:textFill>
            <w14:solidFill>
              <w14:schemeClr w14:val="tx1"/>
            </w14:solidFill>
          </w14:textFill>
        </w:rPr>
      </w:pPr>
      <w:bookmarkStart w:id="33" w:name="_Toc267320051"/>
      <w:bookmarkStart w:id="34" w:name="_Toc98942886"/>
      <w:bookmarkStart w:id="35" w:name="_Toc505608532"/>
      <w:r>
        <w:rPr>
          <w:rFonts w:hint="eastAsia"/>
          <w:color w:val="000000" w:themeColor="text1"/>
          <w:highlight w:val="none"/>
          <w14:textFill>
            <w14:solidFill>
              <w14:schemeClr w14:val="tx1"/>
            </w14:solidFill>
          </w14:textFill>
        </w:rPr>
        <w:t>四、付款方式</w:t>
      </w:r>
      <w:bookmarkEnd w:id="33"/>
      <w:bookmarkEnd w:id="34"/>
      <w:bookmarkEnd w:id="35"/>
    </w:p>
    <w:p>
      <w:pPr>
        <w:snapToGrid w:val="0"/>
        <w:spacing w:line="400" w:lineRule="exact"/>
        <w:ind w:firstLine="480" w:firstLineChars="200"/>
        <w:rPr>
          <w:rFonts w:hint="eastAsia"/>
          <w:color w:val="000000" w:themeColor="text1"/>
          <w:sz w:val="24"/>
          <w:highlight w:val="none"/>
          <w14:textFill>
            <w14:solidFill>
              <w14:schemeClr w14:val="tx1"/>
            </w14:solidFill>
          </w14:textFill>
        </w:rPr>
      </w:pPr>
      <w:bookmarkStart w:id="36" w:name="_Toc505608533"/>
      <w:bookmarkStart w:id="37" w:name="_Toc267320052"/>
      <w:r>
        <w:rPr>
          <w:rFonts w:hint="eastAsia"/>
          <w:color w:val="000000" w:themeColor="text1"/>
          <w:sz w:val="24"/>
          <w:highlight w:val="none"/>
          <w14:textFill>
            <w14:solidFill>
              <w14:schemeClr w14:val="tx1"/>
            </w14:solidFill>
          </w14:textFill>
        </w:rPr>
        <w:t>1.验收合格后，收到乙方开具合同全额发票后15个工作日内，甲方支付合同金额的95%;</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2.乙方在质保期满且维保义务妥善履行完毕后，向甲方提交书面付款申请，经甲方确认付款金额后，乙方再次提交确认金额的书面付款申请，甲方自收到该申请书后15个工作日内，支付剩余款项。</w:t>
      </w:r>
    </w:p>
    <w:p>
      <w:pPr>
        <w:pStyle w:val="5"/>
        <w:rPr>
          <w:color w:val="000000" w:themeColor="text1"/>
          <w:highlight w:val="none"/>
          <w14:textFill>
            <w14:solidFill>
              <w14:schemeClr w14:val="tx1"/>
            </w14:solidFill>
          </w14:textFill>
        </w:rPr>
      </w:pPr>
      <w:bookmarkStart w:id="38" w:name="_Toc98942887"/>
      <w:r>
        <w:rPr>
          <w:rFonts w:hint="eastAsia"/>
          <w:color w:val="000000" w:themeColor="text1"/>
          <w:highlight w:val="none"/>
          <w14:textFill>
            <w14:solidFill>
              <w14:schemeClr w14:val="tx1"/>
            </w14:solidFill>
          </w14:textFill>
        </w:rPr>
        <w:t>五、知识产权</w:t>
      </w:r>
      <w:bookmarkEnd w:id="36"/>
      <w:bookmarkEnd w:id="37"/>
      <w:bookmarkEnd w:id="38"/>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5"/>
        <w:rPr>
          <w:color w:val="000000" w:themeColor="text1"/>
          <w:highlight w:val="none"/>
          <w14:textFill>
            <w14:solidFill>
              <w14:schemeClr w14:val="tx1"/>
            </w14:solidFill>
          </w14:textFill>
        </w:rPr>
      </w:pPr>
      <w:bookmarkStart w:id="39" w:name="_Toc98942888"/>
      <w:bookmarkStart w:id="40" w:name="_Toc505608534"/>
      <w:bookmarkStart w:id="41" w:name="_Toc267320053"/>
      <w:r>
        <w:rPr>
          <w:rFonts w:hint="eastAsia"/>
          <w:color w:val="000000" w:themeColor="text1"/>
          <w:highlight w:val="none"/>
          <w14:textFill>
            <w14:solidFill>
              <w14:schemeClr w14:val="tx1"/>
            </w14:solidFill>
          </w14:textFill>
        </w:rPr>
        <w:t>六、培训</w:t>
      </w:r>
      <w:bookmarkEnd w:id="39"/>
      <w:bookmarkEnd w:id="40"/>
      <w:bookmarkEnd w:id="41"/>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5"/>
        <w:rPr>
          <w:color w:val="000000" w:themeColor="text1"/>
          <w:highlight w:val="none"/>
          <w14:textFill>
            <w14:solidFill>
              <w14:schemeClr w14:val="tx1"/>
            </w14:solidFill>
          </w14:textFill>
        </w:rPr>
      </w:pPr>
      <w:bookmarkStart w:id="42" w:name="_Toc267320054"/>
      <w:bookmarkStart w:id="43" w:name="_Toc505608536"/>
      <w:bookmarkStart w:id="44" w:name="_Toc98942889"/>
      <w:r>
        <w:rPr>
          <w:rFonts w:hint="eastAsia"/>
          <w:color w:val="000000" w:themeColor="text1"/>
          <w:highlight w:val="none"/>
          <w14:textFill>
            <w14:solidFill>
              <w14:schemeClr w14:val="tx1"/>
            </w14:solidFill>
          </w14:textFill>
        </w:rPr>
        <w:t>七、</w:t>
      </w:r>
      <w:bookmarkEnd w:id="42"/>
      <w:r>
        <w:rPr>
          <w:rFonts w:hint="eastAsia"/>
          <w:color w:val="000000" w:themeColor="text1"/>
          <w:highlight w:val="none"/>
          <w14:textFill>
            <w14:solidFill>
              <w14:schemeClr w14:val="tx1"/>
            </w14:solidFill>
          </w14:textFill>
        </w:rPr>
        <w:t>其他商务要求内容</w:t>
      </w:r>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宋体"/>
          <w:color w:val="000000" w:themeColor="text1"/>
          <w:sz w:val="28"/>
          <w:szCs w:val="28"/>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4"/>
        <w:spacing w:line="360" w:lineRule="auto"/>
        <w:rPr>
          <w:rFonts w:ascii="宋体" w:hAnsi="宋体" w:eastAsia="宋体" w:cs="宋体"/>
          <w:color w:val="000000" w:themeColor="text1"/>
          <w:highlight w:val="none"/>
          <w14:textFill>
            <w14:solidFill>
              <w14:schemeClr w14:val="tx1"/>
            </w14:solidFill>
          </w14:textFill>
        </w:rPr>
      </w:pPr>
      <w:bookmarkStart w:id="45" w:name="_Toc98942890"/>
      <w:bookmarkStart w:id="46" w:name="_Toc19113859"/>
      <w:r>
        <w:rPr>
          <w:rFonts w:hint="eastAsia" w:ascii="宋体" w:hAnsi="宋体" w:eastAsia="宋体" w:cs="宋体"/>
          <w:color w:val="000000" w:themeColor="text1"/>
          <w:highlight w:val="none"/>
          <w14:textFill>
            <w14:solidFill>
              <w14:schemeClr w14:val="tx1"/>
            </w14:solidFill>
          </w14:textFill>
        </w:rPr>
        <w:t>第四篇 资格审查及评分办法</w:t>
      </w:r>
      <w:bookmarkEnd w:id="45"/>
      <w:bookmarkEnd w:id="46"/>
    </w:p>
    <w:p>
      <w:pPr>
        <w:pStyle w:val="5"/>
        <w:rPr>
          <w:color w:val="000000" w:themeColor="text1"/>
          <w:highlight w:val="none"/>
          <w14:textFill>
            <w14:solidFill>
              <w14:schemeClr w14:val="tx1"/>
            </w14:solidFill>
          </w14:textFill>
        </w:rPr>
      </w:pPr>
      <w:bookmarkStart w:id="47" w:name="_Toc98942891"/>
      <w:r>
        <w:rPr>
          <w:rFonts w:hint="eastAsia"/>
          <w:color w:val="000000" w:themeColor="text1"/>
          <w:highlight w:val="none"/>
          <w14:textFill>
            <w14:solidFill>
              <w14:schemeClr w14:val="tx1"/>
            </w14:solidFill>
          </w14:textFill>
        </w:rPr>
        <w:t>一、资格审查</w:t>
      </w:r>
      <w:bookmarkEnd w:id="47"/>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125"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p>
        </w:tc>
        <w:tc>
          <w:tcPr>
            <w:tcW w:w="2760"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125"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p>
        </w:tc>
        <w:tc>
          <w:tcPr>
            <w:tcW w:w="2760"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125"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p>
        </w:tc>
        <w:tc>
          <w:tcPr>
            <w:tcW w:w="2760"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125"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p>
        </w:tc>
        <w:tc>
          <w:tcPr>
            <w:tcW w:w="2760"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125"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p>
        </w:tc>
        <w:tc>
          <w:tcPr>
            <w:tcW w:w="2760"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keepNext w:val="0"/>
              <w:keepLines w:val="0"/>
              <w:suppressLineNumbers w:val="0"/>
              <w:spacing w:before="0" w:beforeAutospacing="0" w:after="0" w:afterAutospacing="0"/>
              <w:ind w:left="0" w:right="0"/>
              <w:rPr>
                <w:rFonts w:hint="default"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5"/>
        <w:rPr>
          <w:color w:val="000000" w:themeColor="text1"/>
          <w:highlight w:val="none"/>
          <w14:textFill>
            <w14:solidFill>
              <w14:schemeClr w14:val="tx1"/>
            </w14:solidFill>
          </w14:textFill>
        </w:rPr>
      </w:pPr>
      <w:bookmarkStart w:id="48" w:name="_Toc98942892"/>
      <w:bookmarkStart w:id="49" w:name="_Toc10474389"/>
      <w:r>
        <w:rPr>
          <w:rFonts w:hint="eastAsia"/>
          <w:color w:val="000000" w:themeColor="text1"/>
          <w:highlight w:val="none"/>
          <w14:textFill>
            <w14:solidFill>
              <w14:schemeClr w14:val="tx1"/>
            </w14:solidFill>
          </w14:textFill>
        </w:rPr>
        <w:t>二、评标方法</w:t>
      </w:r>
      <w:bookmarkEnd w:id="48"/>
      <w:bookmarkEnd w:id="49"/>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本项目采用综合评分法进行评标。综合评分法，是指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keepNext w:val="0"/>
              <w:keepLines w:val="0"/>
              <w:suppressLineNumbers w:val="0"/>
              <w:spacing w:before="0" w:beforeAutospacing="0" w:after="0" w:afterAutospacing="0" w:line="360" w:lineRule="auto"/>
              <w:ind w:left="0" w:right="0"/>
              <w:jc w:val="center"/>
              <w:rPr>
                <w:rFonts w:hint="default"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457"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p>
        </w:tc>
        <w:tc>
          <w:tcPr>
            <w:tcW w:w="1984"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p>
        </w:tc>
        <w:tc>
          <w:tcPr>
            <w:tcW w:w="1457" w:type="dxa"/>
            <w:vMerge w:val="continue"/>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p>
        </w:tc>
        <w:tc>
          <w:tcPr>
            <w:tcW w:w="1984"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keepNext w:val="0"/>
              <w:keepLines w:val="0"/>
              <w:suppressLineNumbers w:val="0"/>
              <w:spacing w:before="0" w:beforeAutospacing="0" w:after="0" w:afterAutospacing="0" w:line="240" w:lineRule="exact"/>
              <w:ind w:left="0" w:right="0"/>
              <w:rPr>
                <w:rFonts w:hint="default"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5"/>
        <w:rPr>
          <w:color w:val="000000" w:themeColor="text1"/>
          <w:highlight w:val="none"/>
          <w14:textFill>
            <w14:solidFill>
              <w14:schemeClr w14:val="tx1"/>
            </w14:solidFill>
          </w14:textFill>
        </w:rPr>
      </w:pPr>
      <w:bookmarkStart w:id="50" w:name="_Toc98942893"/>
      <w:r>
        <w:rPr>
          <w:rFonts w:hint="eastAsia"/>
          <w:color w:val="000000" w:themeColor="text1"/>
          <w:highlight w:val="none"/>
          <w14:textFill>
            <w14:solidFill>
              <w14:schemeClr w14:val="tx1"/>
            </w14:solidFill>
          </w14:textFill>
        </w:rPr>
        <w:t>三、评分标准</w:t>
      </w:r>
      <w:bookmarkEnd w:id="5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58"/>
        <w:gridCol w:w="1115"/>
        <w:gridCol w:w="422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序号</w:t>
            </w:r>
          </w:p>
        </w:tc>
        <w:tc>
          <w:tcPr>
            <w:tcW w:w="1258"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评分因素</w:t>
            </w:r>
          </w:p>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及权重</w:t>
            </w:r>
          </w:p>
        </w:tc>
        <w:tc>
          <w:tcPr>
            <w:tcW w:w="111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lang w:val="en-US" w:eastAsia="zh-CN"/>
                <w14:textFill>
                  <w14:solidFill>
                    <w14:schemeClr w14:val="tx1"/>
                  </w14:solidFill>
                </w14:textFill>
              </w:rPr>
              <w:t>标准</w:t>
            </w: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分值</w:t>
            </w:r>
          </w:p>
        </w:tc>
        <w:tc>
          <w:tcPr>
            <w:tcW w:w="4224"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评分标准</w:t>
            </w:r>
          </w:p>
        </w:tc>
        <w:tc>
          <w:tcPr>
            <w:tcW w:w="1736" w:type="dxa"/>
            <w:noWrap w:val="0"/>
            <w:vAlign w:val="center"/>
          </w:tcPr>
          <w:p>
            <w:pPr>
              <w:pStyle w:val="19"/>
              <w:keepNext w:val="0"/>
              <w:keepLines w:val="0"/>
              <w:suppressLineNumbers w:val="0"/>
              <w:spacing w:before="0" w:after="0"/>
              <w:ind w:left="0" w:right="0"/>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1</w:t>
            </w:r>
          </w:p>
        </w:tc>
        <w:tc>
          <w:tcPr>
            <w:tcW w:w="1258"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lang w:val="en-US" w:eastAsia="zh-CN"/>
                <w14:textFill>
                  <w14:solidFill>
                    <w14:schemeClr w14:val="tx1"/>
                  </w14:solidFill>
                </w14:textFill>
              </w:rPr>
              <w:t>投标</w:t>
            </w: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报价</w:t>
            </w:r>
          </w:p>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1"/>
                <w:szCs w:val="21"/>
                <w:highlight w:val="none"/>
                <w:lang w:val="en-US" w:eastAsia="zh-CN"/>
                <w14:textFill>
                  <w14:solidFill>
                    <w14:schemeClr w14:val="tx1"/>
                  </w14:solidFill>
                </w14:textFill>
              </w:rPr>
              <w:t>30</w:t>
            </w: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w:t>
            </w:r>
          </w:p>
        </w:tc>
        <w:tc>
          <w:tcPr>
            <w:tcW w:w="111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b w:val="0"/>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lang w:val="en-US" w:eastAsia="zh-CN"/>
                <w14:textFill>
                  <w14:solidFill>
                    <w14:schemeClr w14:val="tx1"/>
                  </w14:solidFill>
                </w14:textFill>
              </w:rPr>
              <w:t>30分</w:t>
            </w:r>
          </w:p>
        </w:tc>
        <w:tc>
          <w:tcPr>
            <w:tcW w:w="4224" w:type="dxa"/>
            <w:noWrap w:val="0"/>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满足比选文件全部实质性要求</w:t>
            </w: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最低的报价为比选基准价，按照下列公式计算每个的报价得分。</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报价得分＝（比选基准价/报价）×价格权重（</w:t>
            </w:r>
            <w:r>
              <w:rPr>
                <w:rFonts w:hint="eastAsia" w:ascii="方正仿宋_GBK" w:hAnsi="方正仿宋_GBK" w:eastAsia="方正仿宋_GBK" w:cs="方正仿宋_GBK"/>
                <w:b w:val="0"/>
                <w:bCs/>
                <w:color w:val="000000" w:themeColor="text1"/>
                <w:sz w:val="21"/>
                <w:szCs w:val="21"/>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t>0%）×100。保留小数点后两位，第三位四舍五入。</w:t>
            </w:r>
          </w:p>
        </w:tc>
        <w:tc>
          <w:tcPr>
            <w:tcW w:w="1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方正仿宋_GBK" w:hAnsi="方正仿宋_GBK" w:eastAsia="方正仿宋_GBK" w:cs="方正仿宋_GBK"/>
                <w:b w:val="0"/>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835" w:type="dxa"/>
            <w:vMerge w:val="restart"/>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w:t>
            </w:r>
          </w:p>
        </w:tc>
        <w:tc>
          <w:tcPr>
            <w:tcW w:w="1258" w:type="dxa"/>
            <w:vMerge w:val="restart"/>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技术部分</w:t>
            </w:r>
          </w:p>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tc>
        <w:tc>
          <w:tcPr>
            <w:tcW w:w="111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技术参数</w:t>
            </w:r>
          </w:p>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（58分）</w:t>
            </w:r>
          </w:p>
        </w:tc>
        <w:tc>
          <w:tcPr>
            <w:tcW w:w="4224" w:type="dxa"/>
            <w:noWrap w:val="0"/>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起评分：有效的起评分为</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58</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扣分条款：</w:t>
            </w:r>
          </w:p>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响应文件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有一条不满足</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文件重要技术需求的（</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文件第二篇中“</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”标注的部分）从起评分中扣除</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w:t>
            </w:r>
          </w:p>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响应文件</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有一条不满足</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文件</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一般性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技术需求的（</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文件第二篇中</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无“</w:t>
            </w:r>
            <w:r>
              <w:rPr>
                <w:rFonts w:hint="eastAsia" w:hAnsi="宋体"/>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”标注的部分），从起评分中扣除</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p>
        </w:tc>
        <w:tc>
          <w:tcPr>
            <w:tcW w:w="1736" w:type="dxa"/>
            <w:noWrap w:val="0"/>
            <w:vAlign w:val="center"/>
          </w:tcPr>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35" w:type="dxa"/>
            <w:vMerge w:val="continue"/>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258" w:type="dxa"/>
            <w:vMerge w:val="continue"/>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tc>
        <w:tc>
          <w:tcPr>
            <w:tcW w:w="1115" w:type="dxa"/>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实施方案(2分)</w:t>
            </w:r>
          </w:p>
        </w:tc>
        <w:tc>
          <w:tcPr>
            <w:tcW w:w="4224" w:type="dxa"/>
            <w:noWrap w:val="0"/>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实施方案全面合理，技术可行无瑕疵的得2分；实施方案全面，但有不合理或技术论述不够全面的得1分；实施方案不全面，技术有缺陷的得0.5分；未提供实施方案的得0分。</w:t>
            </w:r>
          </w:p>
        </w:tc>
        <w:tc>
          <w:tcPr>
            <w:tcW w:w="1736" w:type="dxa"/>
            <w:noWrap w:val="0"/>
            <w:vAlign w:val="center"/>
          </w:tcPr>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提供实施方案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168"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投标人的应答应满足竞争性比选文件“第三篇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35" w:type="dxa"/>
            <w:vMerge w:val="restart"/>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w:t>
            </w:r>
          </w:p>
        </w:tc>
        <w:tc>
          <w:tcPr>
            <w:tcW w:w="1258" w:type="dxa"/>
            <w:vMerge w:val="restart"/>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商务部分（</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tc>
        <w:tc>
          <w:tcPr>
            <w:tcW w:w="1115" w:type="dxa"/>
            <w:noWrap w:val="0"/>
            <w:vAlign w:val="center"/>
          </w:tcPr>
          <w:p>
            <w:pPr>
              <w:keepNext w:val="0"/>
              <w:keepLines w:val="0"/>
              <w:suppressLineNumbers w:val="0"/>
              <w:spacing w:before="0" w:beforeAutospacing="0" w:after="0" w:afterAutospacing="0" w:line="240" w:lineRule="atLeast"/>
              <w:ind w:left="0" w:right="0"/>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业绩</w:t>
            </w:r>
          </w:p>
          <w:p>
            <w:pPr>
              <w:keepNext w:val="0"/>
              <w:keepLines w:val="0"/>
              <w:suppressLineNumbers w:val="0"/>
              <w:spacing w:before="0" w:beforeAutospacing="0" w:after="0" w:afterAutospacing="0" w:line="240" w:lineRule="atLeast"/>
              <w:ind w:left="0" w:right="0"/>
              <w:jc w:val="cente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（5分）</w:t>
            </w:r>
          </w:p>
        </w:tc>
        <w:tc>
          <w:tcPr>
            <w:tcW w:w="4224" w:type="dxa"/>
            <w:noWrap w:val="0"/>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2021 年1月 1日至投标截止日前</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以合同签订时间为准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，具有一个所投产品</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或者同类产品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销售业绩的得</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分，每增加一个得</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分，最多得</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p>
        </w:tc>
        <w:tc>
          <w:tcPr>
            <w:tcW w:w="17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提供合同复印件，合同体现签订时间和</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关键页</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内容</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35" w:type="dxa"/>
            <w:vMerge w:val="continue"/>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258" w:type="dxa"/>
            <w:vMerge w:val="continue"/>
            <w:noWrap w:val="0"/>
            <w:vAlign w:val="center"/>
          </w:tcPr>
          <w:p>
            <w:pPr>
              <w:keepNext w:val="0"/>
              <w:keepLines w:val="0"/>
              <w:suppressLineNumbers w:val="0"/>
              <w:spacing w:before="0" w:beforeAutospacing="0" w:after="0" w:afterAutospacing="0" w:line="360" w:lineRule="auto"/>
              <w:ind w:left="0" w:right="0" w:firstLine="28"/>
              <w:jc w:val="cente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28"/>
              <w:jc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售后服务方案</w:t>
            </w:r>
          </w:p>
          <w:p>
            <w:pPr>
              <w:keepNext w:val="0"/>
              <w:keepLines w:val="0"/>
              <w:suppressLineNumbers w:val="0"/>
              <w:spacing w:before="0" w:beforeAutospacing="0" w:after="0" w:afterAutospacing="0" w:line="240" w:lineRule="auto"/>
              <w:ind w:left="0" w:right="0" w:firstLine="28"/>
              <w:jc w:val="cente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（5分）</w:t>
            </w:r>
          </w:p>
        </w:tc>
        <w:tc>
          <w:tcPr>
            <w:tcW w:w="4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 根据售后服务承诺、维护响应计划进行评分：内容全面、深度详细、响应</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迅速</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、优惠</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力度大</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方案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非常适用的，得5分</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内容较为全面、深度一般、响应时间及方式</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较</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快、优惠</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一般</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方案</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较适用的，得3分；内容不够全面、深度不够、响应时间及方式慢、优惠低、不适用的得0分。</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40" w:right="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提供书面售后服务方案</w:t>
            </w:r>
          </w:p>
        </w:tc>
      </w:tr>
    </w:tbl>
    <w:p>
      <w:pPr>
        <w:rPr>
          <w:color w:val="000000" w:themeColor="text1"/>
          <w:highlight w:val="none"/>
          <w14:textFill>
            <w14:solidFill>
              <w14:schemeClr w14:val="tx1"/>
            </w14:solidFill>
          </w14:textFill>
        </w:rPr>
      </w:pPr>
      <w:r>
        <w:rPr>
          <w:rFonts w:hint="eastAsia" w:ascii="方正仿宋_GBK" w:hAnsi="方正仿宋_GBK" w:eastAsia="方正仿宋_GBK" w:cs="方正仿宋_GBK"/>
          <w:b/>
          <w:color w:val="000000" w:themeColor="text1"/>
          <w:sz w:val="24"/>
          <w:szCs w:val="24"/>
          <w:highlight w:val="none"/>
          <w14:textFill>
            <w14:solidFill>
              <w14:schemeClr w14:val="tx1"/>
            </w14:solidFill>
          </w14:textFill>
        </w:rPr>
        <w:t>说明：</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评标委员会</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认为报价</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中</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明显低于其他通过资格性审查和符合性审查的报价</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，有可能影响服务质量和不能诚信履约的，将要求其在规定的期限内提供书面文件予以解释说明，并提交相关证明材料；不能证明其报价合理性的，</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评标委员会</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应当将其作为无效</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响应</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处理。</w:t>
      </w:r>
    </w:p>
    <w:p>
      <w:pPr>
        <w:pStyle w:val="5"/>
        <w:rPr>
          <w:rFonts w:hint="eastAsia" w:ascii="宋体" w:hAnsi="宋体" w:eastAsia="宋体" w:cs="宋体"/>
          <w:color w:val="000000" w:themeColor="text1"/>
          <w:highlight w:val="none"/>
          <w14:textFill>
            <w14:solidFill>
              <w14:schemeClr w14:val="tx1"/>
            </w14:solidFill>
          </w14:textFill>
        </w:rPr>
      </w:pPr>
      <w:bookmarkStart w:id="51" w:name="_Toc21425658"/>
      <w:bookmarkStart w:id="52" w:name="_Toc98942894"/>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51"/>
      <w:bookmarkEnd w:id="52"/>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5"/>
        <w:rPr>
          <w:rFonts w:hint="eastAsia" w:ascii="宋体" w:hAnsi="宋体" w:eastAsia="宋体" w:cs="宋体"/>
          <w:color w:val="000000" w:themeColor="text1"/>
          <w:highlight w:val="none"/>
          <w14:textFill>
            <w14:solidFill>
              <w14:schemeClr w14:val="tx1"/>
            </w14:solidFill>
          </w14:textFill>
        </w:rPr>
      </w:pPr>
      <w:bookmarkStart w:id="53" w:name="_Toc21425659"/>
      <w:bookmarkStart w:id="54" w:name="_Toc98942895"/>
      <w:r>
        <w:rPr>
          <w:rFonts w:hint="eastAsia" w:ascii="宋体" w:hAnsi="宋体" w:eastAsia="宋体" w:cs="宋体"/>
          <w:color w:val="000000" w:themeColor="text1"/>
          <w:highlight w:val="none"/>
          <w14:textFill>
            <w14:solidFill>
              <w14:schemeClr w14:val="tx1"/>
            </w14:solidFill>
          </w14:textFill>
        </w:rPr>
        <w:t>五、废标条款</w:t>
      </w:r>
      <w:bookmarkEnd w:id="53"/>
      <w:bookmarkEnd w:id="54"/>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5" w:name="_Toc98942896"/>
      <w:bookmarkStart w:id="56" w:name="_Toc21425660"/>
      <w:r>
        <w:rPr>
          <w:rFonts w:hint="eastAsia" w:ascii="宋体" w:hAnsi="宋体" w:eastAsia="宋体"/>
          <w:b w:val="0"/>
          <w:color w:val="000000" w:themeColor="text1"/>
          <w:highlight w:val="none"/>
          <w14:textFill>
            <w14:solidFill>
              <w14:schemeClr w14:val="tx1"/>
            </w14:solidFill>
          </w14:textFill>
        </w:rPr>
        <w:br w:type="page"/>
      </w:r>
    </w:p>
    <w:p>
      <w:pPr>
        <w:pStyle w:val="4"/>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5"/>
      <w:bookmarkEnd w:id="56"/>
    </w:p>
    <w:p>
      <w:pPr>
        <w:pStyle w:val="5"/>
        <w:rPr>
          <w:rFonts w:hint="eastAsia" w:ascii="宋体" w:hAnsi="宋体" w:eastAsia="宋体" w:cs="宋体"/>
          <w:color w:val="000000" w:themeColor="text1"/>
          <w:highlight w:val="none"/>
          <w14:textFill>
            <w14:solidFill>
              <w14:schemeClr w14:val="tx1"/>
            </w14:solidFill>
          </w14:textFill>
        </w:rPr>
      </w:pPr>
      <w:bookmarkStart w:id="57" w:name="_Toc98942897"/>
      <w:bookmarkStart w:id="58" w:name="_Toc21425661"/>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7"/>
      <w:bookmarkEnd w:id="58"/>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5"/>
        <w:rPr>
          <w:rFonts w:hint="eastAsia" w:ascii="宋体" w:hAnsi="宋体" w:eastAsia="宋体" w:cs="宋体"/>
          <w:color w:val="000000" w:themeColor="text1"/>
          <w:highlight w:val="none"/>
          <w:lang w:eastAsia="zh-CN"/>
          <w14:textFill>
            <w14:solidFill>
              <w14:schemeClr w14:val="tx1"/>
            </w14:solidFill>
          </w14:textFill>
        </w:rPr>
      </w:pPr>
      <w:bookmarkStart w:id="59" w:name="_Toc98942898"/>
      <w:bookmarkStart w:id="60" w:name="_Toc21425662"/>
      <w:r>
        <w:rPr>
          <w:rFonts w:hint="eastAsia" w:ascii="宋体" w:hAnsi="宋体" w:eastAsia="宋体" w:cs="宋体"/>
          <w:color w:val="000000" w:themeColor="text1"/>
          <w:highlight w:val="none"/>
          <w14:textFill>
            <w14:solidFill>
              <w14:schemeClr w14:val="tx1"/>
            </w14:solidFill>
          </w14:textFill>
        </w:rPr>
        <w:t>二、</w:t>
      </w:r>
      <w:bookmarkEnd w:id="59"/>
      <w:bookmarkEnd w:id="60"/>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5"/>
        <w:rPr>
          <w:rFonts w:hint="eastAsia" w:ascii="宋体" w:hAnsi="宋体" w:eastAsia="宋体" w:cs="宋体"/>
          <w:color w:val="000000" w:themeColor="text1"/>
          <w:highlight w:val="none"/>
          <w:lang w:eastAsia="zh-CN"/>
          <w14:textFill>
            <w14:solidFill>
              <w14:schemeClr w14:val="tx1"/>
            </w14:solidFill>
          </w14:textFill>
        </w:rPr>
      </w:pPr>
      <w:bookmarkStart w:id="61" w:name="_Toc21425663"/>
      <w:bookmarkStart w:id="62" w:name="_Toc98942899"/>
      <w:r>
        <w:rPr>
          <w:rFonts w:hint="eastAsia" w:ascii="宋体" w:hAnsi="宋体" w:eastAsia="宋体" w:cs="宋体"/>
          <w:color w:val="000000" w:themeColor="text1"/>
          <w:highlight w:val="none"/>
          <w14:textFill>
            <w14:solidFill>
              <w14:schemeClr w14:val="tx1"/>
            </w14:solidFill>
          </w14:textFill>
        </w:rPr>
        <w:t>三、</w:t>
      </w:r>
      <w:bookmarkEnd w:id="61"/>
      <w:bookmarkEnd w:id="62"/>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5"/>
        <w:rPr>
          <w:rFonts w:hint="eastAsia" w:ascii="宋体" w:hAnsi="宋体" w:eastAsia="宋体" w:cs="宋体"/>
          <w:color w:val="000000" w:themeColor="text1"/>
          <w:highlight w:val="none"/>
          <w14:textFill>
            <w14:solidFill>
              <w14:schemeClr w14:val="tx1"/>
            </w14:solidFill>
          </w14:textFill>
        </w:rPr>
      </w:pPr>
      <w:bookmarkStart w:id="63" w:name="_Toc98942900"/>
      <w:bookmarkStart w:id="64" w:name="_Toc21425665"/>
      <w:r>
        <w:rPr>
          <w:rFonts w:hint="eastAsia" w:ascii="宋体" w:hAnsi="宋体" w:eastAsia="宋体" w:cs="宋体"/>
          <w:color w:val="000000" w:themeColor="text1"/>
          <w:highlight w:val="none"/>
          <w14:textFill>
            <w14:solidFill>
              <w14:schemeClr w14:val="tx1"/>
            </w14:solidFill>
          </w14:textFill>
        </w:rPr>
        <w:t>四、评标</w:t>
      </w:r>
      <w:bookmarkEnd w:id="63"/>
      <w:bookmarkEnd w:id="64"/>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5"/>
        <w:rPr>
          <w:rFonts w:hint="eastAsia" w:ascii="宋体" w:hAnsi="宋体" w:eastAsia="宋体" w:cs="宋体"/>
          <w:color w:val="000000" w:themeColor="text1"/>
          <w:highlight w:val="none"/>
          <w14:textFill>
            <w14:solidFill>
              <w14:schemeClr w14:val="tx1"/>
            </w14:solidFill>
          </w14:textFill>
        </w:rPr>
      </w:pPr>
      <w:bookmarkStart w:id="65" w:name="_Toc98942901"/>
      <w:bookmarkStart w:id="66" w:name="_Toc21425666"/>
      <w:r>
        <w:rPr>
          <w:rFonts w:hint="eastAsia" w:ascii="宋体" w:hAnsi="宋体" w:eastAsia="宋体" w:cs="宋体"/>
          <w:color w:val="000000" w:themeColor="text1"/>
          <w:highlight w:val="none"/>
          <w14:textFill>
            <w14:solidFill>
              <w14:schemeClr w14:val="tx1"/>
            </w14:solidFill>
          </w14:textFill>
        </w:rPr>
        <w:t>五、定标</w:t>
      </w:r>
      <w:bookmarkEnd w:id="65"/>
      <w:bookmarkEnd w:id="66"/>
    </w:p>
    <w:p>
      <w:pPr>
        <w:pStyle w:val="8"/>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5"/>
        <w:rPr>
          <w:rFonts w:hint="eastAsia" w:ascii="宋体" w:hAnsi="宋体" w:eastAsia="宋体" w:cs="宋体"/>
          <w:color w:val="000000" w:themeColor="text1"/>
          <w:highlight w:val="none"/>
          <w14:textFill>
            <w14:solidFill>
              <w14:schemeClr w14:val="tx1"/>
            </w14:solidFill>
          </w14:textFill>
        </w:rPr>
      </w:pPr>
      <w:bookmarkStart w:id="68"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7"/>
      <w:bookmarkEnd w:id="68"/>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5"/>
        <w:rPr>
          <w:rFonts w:hint="eastAsia" w:ascii="宋体" w:hAnsi="宋体" w:eastAsia="宋体" w:cs="宋体"/>
          <w:color w:val="000000" w:themeColor="text1"/>
          <w:highlight w:val="none"/>
          <w14:textFill>
            <w14:solidFill>
              <w14:schemeClr w14:val="tx1"/>
            </w14:solidFill>
          </w14:textFill>
        </w:rPr>
      </w:pPr>
      <w:bookmarkStart w:id="69" w:name="_Toc98942903"/>
      <w:bookmarkStart w:id="70" w:name="_Toc21425671"/>
      <w:r>
        <w:rPr>
          <w:rFonts w:hint="eastAsia" w:ascii="宋体" w:hAnsi="宋体" w:eastAsia="宋体" w:cs="宋体"/>
          <w:color w:val="000000" w:themeColor="text1"/>
          <w:highlight w:val="none"/>
          <w14:textFill>
            <w14:solidFill>
              <w14:schemeClr w14:val="tx1"/>
            </w14:solidFill>
          </w14:textFill>
        </w:rPr>
        <w:t>七、签订合同</w:t>
      </w:r>
      <w:bookmarkEnd w:id="69"/>
      <w:bookmarkEnd w:id="70"/>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1" w:name="_Toc509321006"/>
      <w:bookmarkStart w:id="72"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4"/>
        <w:spacing w:line="360" w:lineRule="auto"/>
        <w:rPr>
          <w:rFonts w:hint="eastAsia" w:ascii="宋体" w:hAnsi="宋体" w:eastAsia="宋体" w:cs="宋体"/>
          <w:color w:val="000000" w:themeColor="text1"/>
          <w:highlight w:val="none"/>
          <w14:textFill>
            <w14:solidFill>
              <w14:schemeClr w14:val="tx1"/>
            </w14:solidFill>
          </w14:textFill>
        </w:rPr>
      </w:pPr>
      <w:bookmarkStart w:id="73"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1"/>
      <w:r>
        <w:rPr>
          <w:rFonts w:hint="eastAsia" w:ascii="宋体" w:hAnsi="宋体" w:eastAsia="宋体" w:cs="宋体"/>
          <w:color w:val="000000" w:themeColor="text1"/>
          <w:highlight w:val="none"/>
          <w14:textFill>
            <w14:solidFill>
              <w14:schemeClr w14:val="tx1"/>
            </w14:solidFill>
          </w14:textFill>
        </w:rPr>
        <w:t>要求</w:t>
      </w:r>
      <w:bookmarkEnd w:id="72"/>
      <w:bookmarkEnd w:id="73"/>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4" w:name="_Toc19113861"/>
      <w:bookmarkStart w:id="75" w:name="_Toc429584884"/>
      <w:bookmarkStart w:id="76"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7" w:name="_Toc98942905"/>
      <w:r>
        <w:rPr>
          <w:rFonts w:hint="eastAsia"/>
          <w:color w:val="000000" w:themeColor="text1"/>
          <w:szCs w:val="28"/>
          <w:highlight w:val="none"/>
          <w14:textFill>
            <w14:solidFill>
              <w14:schemeClr w14:val="tx1"/>
            </w14:solidFill>
          </w14:textFill>
        </w:rPr>
        <w:br w:type="page"/>
      </w:r>
    </w:p>
    <w:p>
      <w:pPr>
        <w:pStyle w:val="5"/>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4"/>
      <w:bookmarkEnd w:id="75"/>
      <w:bookmarkEnd w:id="76"/>
      <w:bookmarkEnd w:id="77"/>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keepNext w:val="0"/>
              <w:keepLines w:val="0"/>
              <w:suppressLineNumbers w:val="0"/>
              <w:spacing w:before="0" w:beforeAutospacing="0" w:after="0" w:afterAutospacing="0" w:line="500" w:lineRule="exact"/>
              <w:ind w:left="0" w:right="0"/>
              <w:jc w:val="center"/>
              <w:rPr>
                <w:rFonts w:hint="default"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keepNext w:val="0"/>
              <w:keepLines w:val="0"/>
              <w:suppressLineNumbers w:val="0"/>
              <w:spacing w:before="0" w:beforeAutospacing="0" w:after="0" w:afterAutospacing="0" w:line="500" w:lineRule="exact"/>
              <w:ind w:left="0" w:right="0"/>
              <w:jc w:val="center"/>
              <w:rPr>
                <w:rFonts w:hint="default"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keepNext w:val="0"/>
              <w:keepLines w:val="0"/>
              <w:suppressLineNumbers w:val="0"/>
              <w:spacing w:before="0" w:beforeAutospacing="0" w:after="0" w:afterAutospacing="0" w:line="500" w:lineRule="exact"/>
              <w:ind w:left="0" w:right="0"/>
              <w:jc w:val="center"/>
              <w:rPr>
                <w:rFonts w:hint="default"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keepNext w:val="0"/>
              <w:keepLines w:val="0"/>
              <w:suppressLineNumbers w:val="0"/>
              <w:spacing w:before="0" w:beforeAutospacing="0" w:after="0" w:afterAutospacing="0" w:line="500" w:lineRule="exact"/>
              <w:ind w:left="0" w:right="0"/>
              <w:jc w:val="center"/>
              <w:rPr>
                <w:rFonts w:hint="default"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keepNext w:val="0"/>
              <w:keepLines w:val="0"/>
              <w:suppressLineNumbers w:val="0"/>
              <w:spacing w:before="0" w:beforeAutospacing="0" w:after="0" w:afterAutospacing="0" w:line="500" w:lineRule="exact"/>
              <w:ind w:left="0" w:right="0"/>
              <w:jc w:val="center"/>
              <w:rPr>
                <w:rFonts w:hint="default"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keepNext w:val="0"/>
              <w:keepLines w:val="0"/>
              <w:suppressLineNumbers w:val="0"/>
              <w:spacing w:before="0" w:beforeAutospacing="0" w:after="0" w:afterAutospacing="0" w:line="500" w:lineRule="exact"/>
              <w:ind w:left="0" w:right="0"/>
              <w:rPr>
                <w:rFonts w:hint="default"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keepNext w:val="0"/>
              <w:keepLines w:val="0"/>
              <w:suppressLineNumbers w:val="0"/>
              <w:spacing w:before="0" w:beforeAutospacing="0" w:after="0" w:afterAutospacing="0" w:line="500" w:lineRule="exact"/>
              <w:ind w:left="0" w:right="0"/>
              <w:rPr>
                <w:rFonts w:hint="default"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9"/>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序号</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名称</w:t>
            </w:r>
          </w:p>
        </w:tc>
        <w:tc>
          <w:tcPr>
            <w:tcW w:w="247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品牌、规格型号</w:t>
            </w:r>
          </w:p>
        </w:tc>
        <w:tc>
          <w:tcPr>
            <w:tcW w:w="1242"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制造商</w:t>
            </w:r>
          </w:p>
        </w:tc>
        <w:tc>
          <w:tcPr>
            <w:tcW w:w="1242"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原产地</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数量</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单价</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2</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3</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4</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5</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6</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7</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8</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w:t>
            </w: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9</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w:t>
            </w: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10</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w:t>
            </w: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11</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w:t>
            </w:r>
          </w:p>
        </w:tc>
        <w:tc>
          <w:tcPr>
            <w:tcW w:w="247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1242"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w:t>
            </w: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c>
          <w:tcPr>
            <w:tcW w:w="934" w:type="dxa"/>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12</w:t>
            </w:r>
          </w:p>
        </w:tc>
        <w:tc>
          <w:tcPr>
            <w:tcW w:w="934" w:type="dxa"/>
            <w:vAlign w:val="center"/>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r>
              <w:rPr>
                <w:rFonts w:hint="eastAsia"/>
                <w:color w:val="000000" w:themeColor="text1"/>
                <w:szCs w:val="20"/>
                <w:highlight w:val="none"/>
                <w14:textFill>
                  <w14:solidFill>
                    <w14:schemeClr w14:val="tx1"/>
                  </w14:solidFill>
                </w14:textFill>
              </w:rPr>
              <w:t>总计</w:t>
            </w:r>
          </w:p>
        </w:tc>
        <w:tc>
          <w:tcPr>
            <w:tcW w:w="7760" w:type="dxa"/>
            <w:gridSpan w:val="6"/>
          </w:tcPr>
          <w:p>
            <w:pPr>
              <w:keepNext w:val="0"/>
              <w:keepLines w:val="0"/>
              <w:suppressLineNumbers w:val="0"/>
              <w:spacing w:before="0" w:beforeAutospacing="0" w:after="0" w:afterAutospacing="0"/>
              <w:ind w:left="0" w:right="0"/>
              <w:rPr>
                <w:rFonts w:hint="default"/>
                <w:color w:val="000000" w:themeColor="text1"/>
                <w:szCs w:val="20"/>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78" w:name="_Toc98942906"/>
      <w:r>
        <w:rPr>
          <w:rFonts w:hint="eastAsia"/>
          <w:color w:val="000000" w:themeColor="text1"/>
          <w:highlight w:val="none"/>
          <w14:textFill>
            <w14:solidFill>
              <w14:schemeClr w14:val="tx1"/>
            </w14:solidFill>
          </w14:textFill>
        </w:rPr>
        <w:t>二、技术文件</w:t>
      </w:r>
      <w:bookmarkEnd w:id="78"/>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79"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79"/>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80" w:name="_Toc19113863"/>
            <w:r>
              <w:rPr>
                <w:rFonts w:hint="eastAsia" w:hAnsi="宋体" w:cs="宋体"/>
                <w:color w:val="000000" w:themeColor="text1"/>
                <w:sz w:val="28"/>
                <w:szCs w:val="28"/>
                <w:highlight w:val="none"/>
                <w14:textFill>
                  <w14:solidFill>
                    <w14:schemeClr w14:val="tx1"/>
                  </w14:solidFill>
                </w14:textFill>
              </w:rPr>
              <w:t>序号</w:t>
            </w:r>
            <w:bookmarkEnd w:id="80"/>
          </w:p>
        </w:tc>
        <w:tc>
          <w:tcPr>
            <w:tcW w:w="242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81" w:name="_Toc19113864"/>
            <w:r>
              <w:rPr>
                <w:rFonts w:hint="eastAsia" w:hAnsi="宋体" w:cs="宋体"/>
                <w:color w:val="000000" w:themeColor="text1"/>
                <w:sz w:val="28"/>
                <w:szCs w:val="28"/>
                <w:highlight w:val="none"/>
                <w14:textFill>
                  <w14:solidFill>
                    <w14:schemeClr w14:val="tx1"/>
                  </w14:solidFill>
                </w14:textFill>
              </w:rPr>
              <w:t>招标要求</w:t>
            </w:r>
            <w:bookmarkEnd w:id="81"/>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82" w:name="_Toc19113865"/>
            <w:r>
              <w:rPr>
                <w:rFonts w:hint="eastAsia" w:hAnsi="宋体" w:cs="宋体"/>
                <w:color w:val="000000" w:themeColor="text1"/>
                <w:sz w:val="28"/>
                <w:szCs w:val="28"/>
                <w:highlight w:val="none"/>
                <w14:textFill>
                  <w14:solidFill>
                    <w14:schemeClr w14:val="tx1"/>
                  </w14:solidFill>
                </w14:textFill>
              </w:rPr>
              <w:t>投标应答</w:t>
            </w:r>
            <w:bookmarkEnd w:id="82"/>
          </w:p>
        </w:tc>
        <w:tc>
          <w:tcPr>
            <w:tcW w:w="188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83" w:name="_Toc19113866"/>
            <w:r>
              <w:rPr>
                <w:rFonts w:hint="eastAsia" w:hAnsi="宋体" w:cs="宋体"/>
                <w:color w:val="000000" w:themeColor="text1"/>
                <w:sz w:val="28"/>
                <w:szCs w:val="28"/>
                <w:highlight w:val="none"/>
                <w14:textFill>
                  <w14:solidFill>
                    <w14:schemeClr w14:val="tx1"/>
                  </w14:solidFill>
                </w14:textFill>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tabs>
                <w:tab w:val="center" w:pos="4153"/>
                <w:tab w:val="right" w:pos="8306"/>
              </w:tabs>
              <w:snapToGrid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tabs>
                <w:tab w:val="center" w:pos="4153"/>
                <w:tab w:val="right" w:pos="8306"/>
              </w:tabs>
              <w:snapToGrid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tabs>
                <w:tab w:val="center" w:pos="4153"/>
                <w:tab w:val="right" w:pos="8306"/>
              </w:tabs>
              <w:snapToGrid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tabs>
                <w:tab w:val="center" w:pos="4153"/>
                <w:tab w:val="right" w:pos="8306"/>
              </w:tabs>
              <w:snapToGrid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tabs>
                <w:tab w:val="center" w:pos="4153"/>
                <w:tab w:val="right" w:pos="8306"/>
              </w:tabs>
              <w:snapToGrid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tabs>
                <w:tab w:val="center" w:pos="4153"/>
                <w:tab w:val="right" w:pos="8306"/>
              </w:tabs>
              <w:snapToGrid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tabs>
                <w:tab w:val="center" w:pos="4153"/>
                <w:tab w:val="right" w:pos="8306"/>
              </w:tabs>
              <w:snapToGrid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vAlign w:val="center"/>
          </w:tcPr>
          <w:p>
            <w:pPr>
              <w:keepNext w:val="0"/>
              <w:keepLines w:val="0"/>
              <w:suppressLineNumbers w:val="0"/>
              <w:spacing w:before="0" w:beforeAutospacing="0" w:after="0" w:afterAutospacing="0"/>
              <w:ind w:left="0" w:right="0"/>
              <w:rPr>
                <w:rFonts w:hint="default"/>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p>
        </w:tc>
        <w:tc>
          <w:tcPr>
            <w:tcW w:w="1222"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1099" w:type="pct"/>
          </w:tcPr>
          <w:p>
            <w:pPr>
              <w:keepNext w:val="0"/>
              <w:keepLines w:val="0"/>
              <w:suppressLineNumbers w:val="0"/>
              <w:spacing w:before="0" w:beforeAutospacing="0" w:after="0" w:afterAutospacing="0"/>
              <w:ind w:left="0" w:right="0"/>
              <w:rPr>
                <w:rFonts w:hint="default" w:hAnsi="宋体" w:cs="宋体"/>
                <w:color w:val="000000" w:themeColor="text1"/>
                <w:sz w:val="24"/>
                <w:szCs w:val="24"/>
                <w:highlight w:val="none"/>
                <w14:textFill>
                  <w14:solidFill>
                    <w14:schemeClr w14:val="tx1"/>
                  </w14:solidFill>
                </w14:textFill>
              </w:rPr>
            </w:pPr>
          </w:p>
        </w:tc>
        <w:tc>
          <w:tcPr>
            <w:tcW w:w="1538"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0" w:type="pct"/>
            <w:vAlign w:val="center"/>
          </w:tcPr>
          <w:p>
            <w:pPr>
              <w:keepNext w:val="0"/>
              <w:keepLines w:val="0"/>
              <w:suppressLineNumbers w:val="0"/>
              <w:spacing w:before="0" w:beforeAutospacing="0" w:after="0" w:afterAutospacing="0"/>
              <w:ind w:left="0" w:right="0"/>
              <w:jc w:val="left"/>
              <w:rPr>
                <w:rFonts w:hint="default" w:hAnsi="宋体" w:cs="宋体"/>
                <w:color w:val="000000" w:themeColor="text1"/>
                <w:sz w:val="24"/>
                <w:szCs w:val="24"/>
                <w:highlight w:val="none"/>
                <w14:textFill>
                  <w14:solidFill>
                    <w14:schemeClr w14:val="tx1"/>
                  </w14:solidFill>
                </w14:textFill>
              </w:rPr>
            </w:pPr>
          </w:p>
        </w:tc>
        <w:tc>
          <w:tcPr>
            <w:tcW w:w="395" w:type="pct"/>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4"/>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4"/>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153"/>
              <w:jc w:val="center"/>
              <w:rPr>
                <w:rFonts w:hint="default"/>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4" w:name="_Toc19113867"/>
      <w:bookmarkStart w:id="85" w:name="_Toc493178791"/>
      <w:bookmarkStart w:id="86" w:name="_Toc492721039"/>
      <w:bookmarkStart w:id="87" w:name="_Toc50932100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88" w:name="_Toc98942907"/>
      <w:r>
        <w:rPr>
          <w:rFonts w:hint="eastAsia"/>
          <w:color w:val="000000" w:themeColor="text1"/>
          <w:highlight w:val="none"/>
          <w14:textFill>
            <w14:solidFill>
              <w14:schemeClr w14:val="tx1"/>
            </w14:solidFill>
          </w14:textFill>
        </w:rPr>
        <w:t>三、商务文件</w:t>
      </w:r>
      <w:bookmarkEnd w:id="84"/>
      <w:bookmarkEnd w:id="85"/>
      <w:bookmarkEnd w:id="86"/>
      <w:bookmarkEnd w:id="87"/>
      <w:bookmarkEnd w:id="8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89" w:name="_Toc19113868"/>
      <w:r>
        <w:rPr>
          <w:rFonts w:hint="eastAsia" w:hAnsi="宋体" w:cs="宋体"/>
          <w:color w:val="000000" w:themeColor="text1"/>
          <w:sz w:val="28"/>
          <w:szCs w:val="28"/>
          <w:highlight w:val="none"/>
          <w14:textFill>
            <w14:solidFill>
              <w14:schemeClr w14:val="tx1"/>
            </w14:solidFill>
          </w14:textFill>
        </w:rPr>
        <w:t>（二）商务条款差异表</w:t>
      </w:r>
      <w:bookmarkEnd w:id="89"/>
    </w:p>
    <w:p>
      <w:pPr>
        <w:spacing w:line="360" w:lineRule="auto"/>
        <w:jc w:val="left"/>
        <w:rPr>
          <w:rFonts w:hAnsi="宋体" w:cs="宋体"/>
          <w:color w:val="000000" w:themeColor="text1"/>
          <w:sz w:val="28"/>
          <w:szCs w:val="28"/>
          <w:highlight w:val="none"/>
          <w14:textFill>
            <w14:solidFill>
              <w14:schemeClr w14:val="tx1"/>
            </w14:solidFill>
          </w14:textFill>
        </w:rPr>
      </w:pPr>
      <w:bookmarkStart w:id="90"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0"/>
    </w:p>
    <w:tbl>
      <w:tblPr>
        <w:tblStyle w:val="14"/>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91" w:name="_Toc19113870"/>
            <w:r>
              <w:rPr>
                <w:rFonts w:hint="eastAsia" w:hAnsi="宋体" w:cs="宋体"/>
                <w:color w:val="000000" w:themeColor="text1"/>
                <w:sz w:val="28"/>
                <w:szCs w:val="28"/>
                <w:highlight w:val="none"/>
                <w14:textFill>
                  <w14:solidFill>
                    <w14:schemeClr w14:val="tx1"/>
                  </w14:solidFill>
                </w14:textFill>
              </w:rPr>
              <w:t>序号</w:t>
            </w:r>
            <w:bookmarkEnd w:id="91"/>
          </w:p>
        </w:tc>
        <w:tc>
          <w:tcPr>
            <w:tcW w:w="242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92" w:name="_Toc19113871"/>
            <w:r>
              <w:rPr>
                <w:rFonts w:hint="eastAsia" w:hAnsi="宋体" w:cs="宋体"/>
                <w:color w:val="000000" w:themeColor="text1"/>
                <w:sz w:val="28"/>
                <w:szCs w:val="28"/>
                <w:highlight w:val="none"/>
                <w14:textFill>
                  <w14:solidFill>
                    <w14:schemeClr w14:val="tx1"/>
                  </w14:solidFill>
                </w14:textFill>
              </w:rPr>
              <w:t>招标商务要求</w:t>
            </w:r>
            <w:bookmarkEnd w:id="92"/>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93" w:name="_Toc19113872"/>
            <w:r>
              <w:rPr>
                <w:rFonts w:hint="eastAsia" w:hAnsi="宋体" w:cs="宋体"/>
                <w:color w:val="000000" w:themeColor="text1"/>
                <w:sz w:val="28"/>
                <w:szCs w:val="28"/>
                <w:highlight w:val="none"/>
                <w14:textFill>
                  <w14:solidFill>
                    <w14:schemeClr w14:val="tx1"/>
                  </w14:solidFill>
                </w14:textFill>
              </w:rPr>
              <w:t>投标商务应答</w:t>
            </w:r>
            <w:bookmarkEnd w:id="93"/>
          </w:p>
        </w:tc>
        <w:tc>
          <w:tcPr>
            <w:tcW w:w="1888"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000000" w:themeColor="text1"/>
                <w:sz w:val="28"/>
                <w:szCs w:val="28"/>
                <w:highlight w:val="none"/>
                <w14:textFill>
                  <w14:solidFill>
                    <w14:schemeClr w14:val="tx1"/>
                  </w14:solidFill>
                </w14:textFill>
              </w:rPr>
            </w:pPr>
            <w:bookmarkStart w:id="94" w:name="_Toc19113873"/>
            <w:r>
              <w:rPr>
                <w:rFonts w:hint="eastAsia" w:hAnsi="宋体" w:cs="宋体"/>
                <w:color w:val="000000" w:themeColor="text1"/>
                <w:sz w:val="28"/>
                <w:szCs w:val="28"/>
                <w:highlight w:val="none"/>
                <w14:textFill>
                  <w14:solidFill>
                    <w14:schemeClr w14:val="tx1"/>
                  </w14:solidFill>
                </w14:textFill>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spacing w:before="0" w:beforeAutospacing="0" w:after="0" w:afterAutospacing="0" w:line="360" w:lineRule="auto"/>
              <w:ind w:left="0" w:right="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42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2520"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c>
          <w:tcPr>
            <w:tcW w:w="1888" w:type="dxa"/>
            <w:vAlign w:val="center"/>
          </w:tcPr>
          <w:p>
            <w:pPr>
              <w:keepNext w:val="0"/>
              <w:keepLines w:val="0"/>
              <w:suppressLineNumbers w:val="0"/>
              <w:tabs>
                <w:tab w:val="left" w:pos="6300"/>
              </w:tabs>
              <w:snapToGrid w:val="0"/>
              <w:spacing w:before="0" w:beforeAutospacing="0" w:after="0" w:afterAutospacing="0" w:line="360" w:lineRule="auto"/>
              <w:ind w:left="0" w:right="0"/>
              <w:jc w:val="center"/>
              <w:outlineLvl w:val="0"/>
              <w:rPr>
                <w:rFonts w:hint="default"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5" w:name="_Toc19113874"/>
      <w:r>
        <w:rPr>
          <w:rFonts w:hint="eastAsia"/>
          <w:color w:val="000000" w:themeColor="text1"/>
          <w:highlight w:val="none"/>
          <w14:textFill>
            <w14:solidFill>
              <w14:schemeClr w14:val="tx1"/>
            </w14:solidFill>
          </w14:textFill>
        </w:rPr>
        <w:t>（三）商务条款相关支撑资料</w:t>
      </w:r>
      <w:bookmarkEnd w:id="95"/>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6" w:name="_Toc492721041"/>
      <w:bookmarkStart w:id="97" w:name="_Toc509321010"/>
      <w:bookmarkStart w:id="98" w:name="_Toc493178792"/>
      <w:bookmarkStart w:id="99"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00" w:name="_Toc98942908"/>
      <w:r>
        <w:rPr>
          <w:rFonts w:hint="eastAsia"/>
          <w:color w:val="000000" w:themeColor="text1"/>
          <w:highlight w:val="none"/>
          <w14:textFill>
            <w14:solidFill>
              <w14:schemeClr w14:val="tx1"/>
            </w14:solidFill>
          </w14:textFill>
        </w:rPr>
        <w:t>四、</w:t>
      </w:r>
      <w:bookmarkEnd w:id="96"/>
      <w:bookmarkEnd w:id="97"/>
      <w:bookmarkEnd w:id="98"/>
      <w:r>
        <w:rPr>
          <w:rFonts w:hint="eastAsia"/>
          <w:color w:val="000000" w:themeColor="text1"/>
          <w:highlight w:val="none"/>
          <w14:textFill>
            <w14:solidFill>
              <w14:schemeClr w14:val="tx1"/>
            </w14:solidFill>
          </w14:textFill>
        </w:rPr>
        <w:t>其他与项目有关的资料（自附）</w:t>
      </w:r>
      <w:bookmarkEnd w:id="99"/>
      <w:bookmarkEnd w:id="100"/>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01" w:name="_Toc19113880"/>
      <w:bookmarkStart w:id="102" w:name="_Toc509321011"/>
      <w:bookmarkStart w:id="103" w:name="_Toc98942909"/>
      <w:bookmarkStart w:id="104" w:name="_Toc493178793"/>
      <w:bookmarkStart w:id="105" w:name="_Toc492721038"/>
      <w:r>
        <w:rPr>
          <w:rFonts w:hint="eastAsia"/>
          <w:color w:val="000000" w:themeColor="text1"/>
          <w:highlight w:val="none"/>
          <w14:textFill>
            <w14:solidFill>
              <w14:schemeClr w14:val="tx1"/>
            </w14:solidFill>
          </w14:textFill>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bookmarkEnd w:id="106"/>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8D7439"/>
    <w:rsid w:val="069735CC"/>
    <w:rsid w:val="09A42809"/>
    <w:rsid w:val="10D9172F"/>
    <w:rsid w:val="143C6506"/>
    <w:rsid w:val="173160BF"/>
    <w:rsid w:val="190D1E56"/>
    <w:rsid w:val="19DC4392"/>
    <w:rsid w:val="1D563D19"/>
    <w:rsid w:val="201E468F"/>
    <w:rsid w:val="305B7ED0"/>
    <w:rsid w:val="309D2A15"/>
    <w:rsid w:val="31825ED0"/>
    <w:rsid w:val="354C5318"/>
    <w:rsid w:val="37133E37"/>
    <w:rsid w:val="3A736B5C"/>
    <w:rsid w:val="3B396C28"/>
    <w:rsid w:val="42AF6563"/>
    <w:rsid w:val="4550368C"/>
    <w:rsid w:val="46966CED"/>
    <w:rsid w:val="472C002F"/>
    <w:rsid w:val="48F54BFB"/>
    <w:rsid w:val="4C5365B2"/>
    <w:rsid w:val="4E30022D"/>
    <w:rsid w:val="4FC11690"/>
    <w:rsid w:val="57A557E8"/>
    <w:rsid w:val="5BCE64D5"/>
    <w:rsid w:val="5C890CFB"/>
    <w:rsid w:val="5D861C18"/>
    <w:rsid w:val="616E7791"/>
    <w:rsid w:val="67B478DF"/>
    <w:rsid w:val="6CBB7B83"/>
    <w:rsid w:val="6D3E38DD"/>
    <w:rsid w:val="708831B5"/>
    <w:rsid w:val="72C46EDD"/>
    <w:rsid w:val="7487479C"/>
    <w:rsid w:val="7712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jc w:val="center"/>
      <w:outlineLvl w:val="0"/>
    </w:pPr>
    <w:rPr>
      <w:rFonts w:ascii="Times New Roman" w:eastAsia="仿宋"/>
      <w:b/>
      <w:bCs/>
      <w:kern w:val="44"/>
      <w:sz w:val="44"/>
      <w:szCs w:val="44"/>
    </w:rPr>
  </w:style>
  <w:style w:type="paragraph" w:styleId="5">
    <w:name w:val="heading 2"/>
    <w:basedOn w:val="1"/>
    <w:next w:val="1"/>
    <w:link w:val="18"/>
    <w:qFormat/>
    <w:uiPriority w:val="0"/>
    <w:pPr>
      <w:keepNext/>
      <w:keepLines/>
      <w:jc w:val="left"/>
      <w:outlineLvl w:val="1"/>
    </w:pPr>
    <w:rPr>
      <w:rFonts w:ascii="Arial" w:hAnsi="Arial"/>
      <w:bCs/>
      <w:kern w:val="2"/>
      <w:sz w:val="28"/>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3"/>
    <w:next w:val="1"/>
    <w:qFormat/>
    <w:uiPriority w:val="0"/>
    <w:pPr>
      <w:spacing w:line="360" w:lineRule="auto"/>
      <w:ind w:firstLine="480" w:firstLineChars="200"/>
    </w:pPr>
    <w:rPr>
      <w:rFonts w:ascii="宋体" w:hAnsi="宋体" w:cs="宋体"/>
      <w:kern w:val="0"/>
      <w:sz w:val="24"/>
    </w:rPr>
  </w:style>
  <w:style w:type="paragraph" w:customStyle="1" w:styleId="3">
    <w:name w:val="正文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99"/>
    <w:rPr>
      <w:rFonts w:hAnsi="Courier New"/>
      <w:kern w:val="2"/>
      <w:sz w:val="21"/>
      <w:szCs w:val="21"/>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rPr>
  </w:style>
  <w:style w:type="paragraph" w:styleId="13">
    <w:name w:val="toc 2"/>
    <w:basedOn w:val="1"/>
    <w:next w:val="1"/>
    <w:qFormat/>
    <w:uiPriority w:val="39"/>
    <w:pPr>
      <w:spacing w:line="312" w:lineRule="auto"/>
      <w:ind w:left="420"/>
      <w:jc w:val="right"/>
    </w:pPr>
    <w:rPr>
      <w:rFonts w:ascii="仿宋_GB2312" w:eastAsia="仿宋_GB2312"/>
      <w:bCs/>
      <w:smallCaps/>
      <w:sz w:val="24"/>
    </w:rPr>
  </w:style>
  <w:style w:type="table" w:styleId="15">
    <w:name w:val="Table Grid"/>
    <w:basedOn w:val="1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Hyperlink"/>
    <w:qFormat/>
    <w:uiPriority w:val="99"/>
    <w:rPr>
      <w:color w:val="0000FF"/>
      <w:u w:val="single"/>
    </w:rPr>
  </w:style>
  <w:style w:type="character" w:customStyle="1" w:styleId="18">
    <w:name w:val="标题 2 Char"/>
    <w:link w:val="5"/>
    <w:qFormat/>
    <w:uiPriority w:val="0"/>
    <w:rPr>
      <w:rFonts w:ascii="Arial" w:hAnsi="Arial"/>
      <w:bCs/>
      <w:kern w:val="2"/>
      <w:sz w:val="28"/>
      <w:szCs w:val="32"/>
    </w:rPr>
  </w:style>
  <w:style w:type="paragraph" w:customStyle="1" w:styleId="19">
    <w:name w:val="图例"/>
    <w:basedOn w:val="1"/>
    <w:qFormat/>
    <w:uiPriority w:val="0"/>
    <w:pPr>
      <w:spacing w:before="120" w:beforeLines="0" w:beforeAutospacing="0" w:after="120" w:afterLines="0" w:afterAutospacing="0" w:line="360" w:lineRule="auto"/>
      <w:jc w:val="center"/>
    </w:pPr>
    <w:rPr>
      <w:rFonts w:eastAsia="方正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15240</Words>
  <Characters>15756</Characters>
  <Lines>0</Lines>
  <Paragraphs>0</Paragraphs>
  <TotalTime>4</TotalTime>
  <ScaleCrop>false</ScaleCrop>
  <LinksUpToDate>false</LinksUpToDate>
  <CharactersWithSpaces>16606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2025-03-05T08:32:53Z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43A93FD0EA204A368FB1E7CACBDC5416_13</vt:lpwstr>
  </property>
  <property fmtid="{D5CDD505-2E9C-101B-9397-08002B2CF9AE}" pid="4" name="KSOTemplateDocerSaveRecord">
    <vt:lpwstr>eyJoZGlkIjoiZTA4NzIyN2MxYTlmMzQ1NGE2MjU5NWRkMjhlOGMxYTAiLCJ1c2VySWQiOiIxNjY2NDA1NzExIn0=</vt:lpwstr>
  </property>
</Properties>
</file>