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44"/>
          <w:szCs w:val="44"/>
          <w:highlight w:val="none"/>
        </w:rPr>
      </w:pPr>
      <w:r>
        <w:rPr>
          <w:rFonts w:hint="eastAsia"/>
          <w:b/>
          <w:color w:val="auto"/>
          <w:sz w:val="44"/>
          <w:szCs w:val="44"/>
          <w:highlight w:val="none"/>
        </w:rPr>
        <w:t>重庆医科大学</w:t>
      </w:r>
      <w:r>
        <w:rPr>
          <w:rFonts w:hint="eastAsia"/>
          <w:b/>
          <w:color w:val="auto"/>
          <w:sz w:val="44"/>
          <w:szCs w:val="44"/>
          <w:highlight w:val="none"/>
          <w:lang w:eastAsia="zh-CN"/>
        </w:rPr>
        <w:t>附属</w:t>
      </w:r>
      <w:r>
        <w:rPr>
          <w:rFonts w:hint="eastAsia"/>
          <w:b/>
          <w:color w:val="auto"/>
          <w:sz w:val="44"/>
          <w:szCs w:val="44"/>
          <w:highlight w:val="none"/>
        </w:rPr>
        <w:t>口腔医院</w:t>
      </w:r>
    </w:p>
    <w:p>
      <w:pPr>
        <w:jc w:val="center"/>
        <w:rPr>
          <w:b/>
          <w:color w:val="auto"/>
          <w:sz w:val="44"/>
          <w:szCs w:val="44"/>
          <w:highlight w:val="none"/>
        </w:rPr>
      </w:pPr>
      <w:r>
        <w:rPr>
          <w:rFonts w:hint="eastAsia"/>
          <w:b/>
          <w:color w:val="auto"/>
          <w:sz w:val="44"/>
          <w:szCs w:val="44"/>
          <w:highlight w:val="none"/>
        </w:rPr>
        <w:t>需求询价公告</w:t>
      </w:r>
    </w:p>
    <w:p>
      <w:pPr>
        <w:jc w:val="left"/>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一、各供应商根据</w:t>
      </w:r>
      <w:r>
        <w:rPr>
          <w:rFonts w:hint="eastAsia" w:cs="Tahoma" w:asciiTheme="minorEastAsia" w:hAnsiTheme="minorEastAsia"/>
          <w:b/>
          <w:color w:val="auto"/>
          <w:sz w:val="28"/>
          <w:szCs w:val="28"/>
          <w:highlight w:val="none"/>
          <w:shd w:val="clear" w:color="auto" w:fill="FFFFFF"/>
          <w:lang w:eastAsia="zh-CN"/>
        </w:rPr>
        <w:t>需求</w:t>
      </w:r>
      <w:r>
        <w:rPr>
          <w:rFonts w:hint="eastAsia" w:cs="Tahoma" w:asciiTheme="minorEastAsia" w:hAnsiTheme="minorEastAsia"/>
          <w:b/>
          <w:color w:val="auto"/>
          <w:sz w:val="28"/>
          <w:szCs w:val="28"/>
          <w:highlight w:val="none"/>
          <w:shd w:val="clear" w:color="auto" w:fill="FFFFFF"/>
        </w:rPr>
        <w:t>询价公告要求报价。</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三、需求公告时间202</w:t>
      </w:r>
      <w:r>
        <w:rPr>
          <w:rFonts w:hint="eastAsia" w:cs="Tahoma" w:asciiTheme="minorEastAsia" w:hAnsiTheme="minorEastAsia"/>
          <w:b/>
          <w:color w:val="auto"/>
          <w:sz w:val="28"/>
          <w:szCs w:val="28"/>
          <w:highlight w:val="none"/>
          <w:shd w:val="clear" w:color="auto" w:fill="FFFFFF"/>
          <w:lang w:val="en-US" w:eastAsia="zh-CN"/>
        </w:rPr>
        <w:t>5</w:t>
      </w:r>
      <w:r>
        <w:rPr>
          <w:rFonts w:hint="eastAsia" w:cs="Tahoma" w:asciiTheme="minorEastAsia" w:hAnsiTheme="minorEastAsia"/>
          <w:b/>
          <w:color w:val="auto"/>
          <w:sz w:val="28"/>
          <w:szCs w:val="28"/>
          <w:highlight w:val="none"/>
          <w:shd w:val="clear" w:color="auto" w:fill="FFFFFF"/>
        </w:rPr>
        <w:t>年</w:t>
      </w:r>
      <w:r>
        <w:rPr>
          <w:rFonts w:hint="eastAsia" w:cs="Tahoma" w:asciiTheme="minorEastAsia" w:hAnsiTheme="minorEastAsia"/>
          <w:b/>
          <w:color w:val="auto"/>
          <w:sz w:val="28"/>
          <w:szCs w:val="28"/>
          <w:highlight w:val="none"/>
          <w:shd w:val="clear" w:color="auto" w:fill="FFFFFF"/>
          <w:lang w:val="en-US" w:eastAsia="zh-CN"/>
        </w:rPr>
        <w:t>2</w:t>
      </w:r>
      <w:r>
        <w:rPr>
          <w:rFonts w:hint="eastAsia" w:cs="Tahoma" w:asciiTheme="minorEastAsia" w:hAnsiTheme="minorEastAsia"/>
          <w:b/>
          <w:color w:val="auto"/>
          <w:sz w:val="28"/>
          <w:szCs w:val="28"/>
          <w:highlight w:val="none"/>
          <w:shd w:val="clear" w:color="auto" w:fill="FFFFFF"/>
        </w:rPr>
        <w:t>月</w:t>
      </w:r>
      <w:r>
        <w:rPr>
          <w:rFonts w:hint="eastAsia" w:cs="Tahoma" w:asciiTheme="minorEastAsia" w:hAnsiTheme="minorEastAsia"/>
          <w:b/>
          <w:color w:val="auto"/>
          <w:sz w:val="28"/>
          <w:szCs w:val="28"/>
          <w:highlight w:val="none"/>
          <w:shd w:val="clear" w:color="auto" w:fill="FFFFFF"/>
          <w:lang w:val="en-US" w:eastAsia="zh-CN"/>
        </w:rPr>
        <w:t>19</w:t>
      </w:r>
      <w:r>
        <w:rPr>
          <w:rFonts w:hint="eastAsia" w:cs="Tahoma" w:asciiTheme="minorEastAsia" w:hAnsiTheme="minorEastAsia"/>
          <w:b/>
          <w:color w:val="auto"/>
          <w:sz w:val="28"/>
          <w:szCs w:val="28"/>
          <w:highlight w:val="none"/>
          <w:shd w:val="clear" w:color="auto" w:fill="FFFFFF"/>
        </w:rPr>
        <w:t>日至202</w:t>
      </w:r>
      <w:r>
        <w:rPr>
          <w:rFonts w:hint="eastAsia" w:cs="Tahoma" w:asciiTheme="minorEastAsia" w:hAnsiTheme="minorEastAsia"/>
          <w:b/>
          <w:color w:val="auto"/>
          <w:sz w:val="28"/>
          <w:szCs w:val="28"/>
          <w:highlight w:val="none"/>
          <w:shd w:val="clear" w:color="auto" w:fill="FFFFFF"/>
          <w:lang w:val="en-US" w:eastAsia="zh-CN"/>
        </w:rPr>
        <w:t>5</w:t>
      </w:r>
      <w:r>
        <w:rPr>
          <w:rFonts w:hint="eastAsia" w:cs="Tahoma" w:asciiTheme="minorEastAsia" w:hAnsiTheme="minorEastAsia"/>
          <w:b/>
          <w:color w:val="auto"/>
          <w:sz w:val="28"/>
          <w:szCs w:val="28"/>
          <w:highlight w:val="none"/>
          <w:shd w:val="clear" w:color="auto" w:fill="FFFFFF"/>
        </w:rPr>
        <w:t>年</w:t>
      </w:r>
      <w:r>
        <w:rPr>
          <w:rFonts w:hint="eastAsia" w:cs="Tahoma" w:asciiTheme="minorEastAsia" w:hAnsiTheme="minorEastAsia"/>
          <w:b/>
          <w:color w:val="auto"/>
          <w:sz w:val="28"/>
          <w:szCs w:val="28"/>
          <w:highlight w:val="none"/>
          <w:shd w:val="clear" w:color="auto" w:fill="FFFFFF"/>
          <w:lang w:val="en-US" w:eastAsia="zh-CN"/>
        </w:rPr>
        <w:t>2</w:t>
      </w:r>
      <w:r>
        <w:rPr>
          <w:rFonts w:hint="eastAsia" w:cs="Tahoma" w:asciiTheme="minorEastAsia" w:hAnsiTheme="minorEastAsia"/>
          <w:b/>
          <w:color w:val="auto"/>
          <w:sz w:val="28"/>
          <w:szCs w:val="28"/>
          <w:highlight w:val="none"/>
          <w:shd w:val="clear" w:color="auto" w:fill="FFFFFF"/>
        </w:rPr>
        <w:t>月</w:t>
      </w:r>
      <w:r>
        <w:rPr>
          <w:rFonts w:hint="eastAsia" w:cs="Tahoma" w:asciiTheme="minorEastAsia" w:hAnsiTheme="minorEastAsia"/>
          <w:b/>
          <w:color w:val="auto"/>
          <w:sz w:val="28"/>
          <w:szCs w:val="28"/>
          <w:highlight w:val="none"/>
          <w:shd w:val="clear" w:color="auto" w:fill="FFFFFF"/>
          <w:lang w:val="en-US" w:eastAsia="zh-CN"/>
        </w:rPr>
        <w:t>25</w:t>
      </w:r>
      <w:r>
        <w:rPr>
          <w:rFonts w:hint="eastAsia" w:cs="Tahoma" w:asciiTheme="minorEastAsia" w:hAnsiTheme="minorEastAsia"/>
          <w:b/>
          <w:color w:val="auto"/>
          <w:sz w:val="28"/>
          <w:szCs w:val="28"/>
          <w:highlight w:val="none"/>
          <w:shd w:val="clear" w:color="auto" w:fill="FFFFFF"/>
        </w:rPr>
        <w:t>日17:30止</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四、报价（需盖章PDF或图片电子版，按照后附报价格式要求）发送：</w:t>
      </w:r>
      <w:r>
        <w:rPr>
          <w:color w:val="auto"/>
          <w:highlight w:val="none"/>
        </w:rPr>
        <w:fldChar w:fldCharType="begin"/>
      </w:r>
      <w:r>
        <w:rPr>
          <w:color w:val="auto"/>
          <w:highlight w:val="none"/>
        </w:rPr>
        <w:instrText xml:space="preserve"> HYPERLINK "mailto:sjk806@163.com" </w:instrText>
      </w:r>
      <w:r>
        <w:rPr>
          <w:color w:val="auto"/>
          <w:highlight w:val="none"/>
        </w:rPr>
        <w:fldChar w:fldCharType="separate"/>
      </w:r>
      <w:r>
        <w:rPr>
          <w:rFonts w:hint="eastAsia" w:cs="Tahoma" w:asciiTheme="minorEastAsia" w:hAnsiTheme="minorEastAsia"/>
          <w:b/>
          <w:color w:val="auto"/>
          <w:sz w:val="28"/>
          <w:szCs w:val="28"/>
          <w:highlight w:val="none"/>
          <w:shd w:val="clear" w:color="auto" w:fill="FFFFFF"/>
        </w:rPr>
        <w:t>sjk806@163.com</w:t>
      </w:r>
      <w:r>
        <w:rPr>
          <w:rFonts w:hint="eastAsia" w:cs="Tahoma" w:asciiTheme="minorEastAsia" w:hAnsiTheme="minorEastAsia"/>
          <w:b/>
          <w:color w:val="auto"/>
          <w:sz w:val="28"/>
          <w:szCs w:val="28"/>
          <w:highlight w:val="none"/>
          <w:shd w:val="clear" w:color="auto" w:fill="FFFFFF"/>
        </w:rPr>
        <w:fldChar w:fldCharType="end"/>
      </w:r>
      <w:r>
        <w:rPr>
          <w:rFonts w:hint="eastAsia" w:cs="Tahoma" w:asciiTheme="minorEastAsia" w:hAnsiTheme="minorEastAsia"/>
          <w:b/>
          <w:color w:val="auto"/>
          <w:sz w:val="28"/>
          <w:szCs w:val="28"/>
          <w:highlight w:val="none"/>
          <w:shd w:val="clear" w:color="auto" w:fill="FFFFFF"/>
        </w:rPr>
        <w:t>，报价邮件名称和文件名称需写上《</w:t>
      </w:r>
      <w:r>
        <w:rPr>
          <w:rFonts w:hint="eastAsia" w:cs="Tahoma" w:asciiTheme="minorEastAsia" w:hAnsiTheme="minorEastAsia"/>
          <w:b/>
          <w:color w:val="auto"/>
          <w:sz w:val="28"/>
          <w:szCs w:val="28"/>
          <w:highlight w:val="none"/>
          <w:u w:val="single"/>
          <w:shd w:val="clear" w:color="auto" w:fill="FFFFFF"/>
          <w:lang w:val="en-US" w:eastAsia="zh-CN"/>
        </w:rPr>
        <w:t>XXXX</w:t>
      </w:r>
      <w:r>
        <w:rPr>
          <w:rFonts w:hint="eastAsia" w:cs="Tahoma" w:asciiTheme="minorEastAsia" w:hAnsiTheme="minorEastAsia"/>
          <w:b/>
          <w:color w:val="auto"/>
          <w:sz w:val="28"/>
          <w:szCs w:val="28"/>
          <w:highlight w:val="none"/>
          <w:shd w:val="clear" w:color="auto" w:fill="FFFFFF"/>
        </w:rPr>
        <w:t>公司</w:t>
      </w:r>
      <w:r>
        <w:rPr>
          <w:rFonts w:hint="eastAsia" w:cs="Tahoma" w:asciiTheme="minorEastAsia" w:hAnsiTheme="minorEastAsia"/>
          <w:b/>
          <w:color w:val="auto"/>
          <w:sz w:val="28"/>
          <w:szCs w:val="28"/>
          <w:highlight w:val="none"/>
          <w:shd w:val="clear" w:color="auto" w:fill="FFFFFF"/>
          <w:lang w:eastAsia="zh-CN"/>
        </w:rPr>
        <w:t>重庆医科大学附属口腔</w:t>
      </w:r>
      <w:r>
        <w:rPr>
          <w:rFonts w:hint="eastAsia" w:cs="Tahoma" w:asciiTheme="minorEastAsia" w:hAnsiTheme="minorEastAsia"/>
          <w:b/>
          <w:color w:val="auto"/>
          <w:sz w:val="28"/>
          <w:szCs w:val="28"/>
          <w:highlight w:val="none"/>
          <w:shd w:val="clear" w:color="auto" w:fill="FFFFFF"/>
        </w:rPr>
        <w:t>医院</w:t>
      </w:r>
      <w:r>
        <w:rPr>
          <w:rFonts w:hint="eastAsia" w:cs="Tahoma" w:asciiTheme="minorEastAsia" w:hAnsiTheme="minorEastAsia"/>
          <w:b/>
          <w:color w:val="auto"/>
          <w:sz w:val="28"/>
          <w:szCs w:val="28"/>
          <w:highlight w:val="none"/>
          <w:u w:val="single"/>
          <w:shd w:val="clear" w:color="auto" w:fill="FFFFFF"/>
          <w:lang w:val="en-US" w:eastAsia="zh-CN"/>
        </w:rPr>
        <w:t>XXXXXX</w:t>
      </w:r>
      <w:r>
        <w:rPr>
          <w:rFonts w:hint="eastAsia" w:cs="Tahoma" w:asciiTheme="minorEastAsia" w:hAnsiTheme="minorEastAsia"/>
          <w:b/>
          <w:color w:val="auto"/>
          <w:sz w:val="28"/>
          <w:szCs w:val="28"/>
          <w:highlight w:val="none"/>
          <w:shd w:val="clear" w:color="auto" w:fill="FFFFFF"/>
        </w:rPr>
        <w:t>报价表》。</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auto"/>
          <w:sz w:val="28"/>
          <w:szCs w:val="28"/>
          <w:highlight w:val="none"/>
          <w:shd w:val="clear" w:color="auto" w:fill="FFFFFF"/>
          <w:lang w:eastAsia="zh-CN"/>
        </w:rPr>
        <w:t>李</w:t>
      </w:r>
      <w:r>
        <w:rPr>
          <w:rFonts w:hint="eastAsia" w:cs="Tahoma" w:asciiTheme="minorEastAsia" w:hAnsiTheme="minorEastAsia"/>
          <w:b/>
          <w:color w:val="auto"/>
          <w:sz w:val="28"/>
          <w:szCs w:val="28"/>
          <w:highlight w:val="none"/>
          <w:shd w:val="clear" w:color="auto" w:fill="FFFFFF"/>
        </w:rPr>
        <w:t>老师023-</w:t>
      </w:r>
      <w:r>
        <w:rPr>
          <w:rFonts w:hint="eastAsia" w:cs="Tahoma" w:asciiTheme="minorEastAsia" w:hAnsiTheme="minorEastAsia"/>
          <w:b/>
          <w:color w:val="auto"/>
          <w:sz w:val="28"/>
          <w:szCs w:val="28"/>
          <w:highlight w:val="none"/>
          <w:shd w:val="clear" w:color="auto" w:fill="FFFFFF"/>
          <w:lang w:val="en-US" w:eastAsia="zh-CN"/>
        </w:rPr>
        <w:t>88860177</w:t>
      </w:r>
      <w:r>
        <w:rPr>
          <w:rFonts w:hint="eastAsia" w:cs="Tahoma" w:asciiTheme="minorEastAsia" w:hAnsiTheme="minorEastAsia"/>
          <w:b/>
          <w:color w:val="auto"/>
          <w:sz w:val="28"/>
          <w:szCs w:val="28"/>
          <w:highlight w:val="none"/>
          <w:shd w:val="clear" w:color="auto" w:fill="FFFFFF"/>
        </w:rPr>
        <w:t>。</w:t>
      </w:r>
    </w:p>
    <w:p>
      <w:pPr>
        <w:jc w:val="center"/>
        <w:rPr>
          <w:b/>
          <w:color w:val="auto"/>
          <w:sz w:val="28"/>
          <w:szCs w:val="28"/>
          <w:highlight w:val="none"/>
        </w:rPr>
      </w:pPr>
      <w:r>
        <w:rPr>
          <w:rFonts w:hint="eastAsia" w:ascii="Calibri" w:hAnsi="Calibri" w:eastAsia="宋体" w:cs="Times New Roman"/>
          <w:b/>
          <w:color w:val="auto"/>
          <w:sz w:val="28"/>
          <w:szCs w:val="28"/>
          <w:highlight w:val="none"/>
          <w:lang w:val="en-US" w:eastAsia="zh-CN"/>
        </w:rPr>
        <w:t xml:space="preserve">  1套</w:t>
      </w:r>
      <w:r>
        <w:rPr>
          <w:rFonts w:hint="eastAsia" w:ascii="Calibri" w:hAnsi="Calibri" w:eastAsia="宋体" w:cs="Times New Roman"/>
          <w:b/>
          <w:color w:val="auto"/>
          <w:sz w:val="28"/>
          <w:szCs w:val="28"/>
          <w:highlight w:val="none"/>
          <w:u w:val="single"/>
          <w:lang w:val="en-US" w:eastAsia="zh-CN"/>
        </w:rPr>
        <w:t>住培临床教学管理系统</w:t>
      </w:r>
      <w:r>
        <w:rPr>
          <w:rFonts w:hint="eastAsia" w:ascii="Calibri" w:hAnsi="Calibri" w:eastAsia="宋体" w:cs="Times New Roman"/>
          <w:b/>
          <w:color w:val="auto"/>
          <w:sz w:val="28"/>
          <w:szCs w:val="28"/>
          <w:highlight w:val="none"/>
        </w:rPr>
        <w:t>采购项目</w:t>
      </w:r>
    </w:p>
    <w:tbl>
      <w:tblPr>
        <w:tblStyle w:val="1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color w:val="auto"/>
                <w:sz w:val="24"/>
                <w:szCs w:val="24"/>
                <w:highlight w:val="none"/>
              </w:rPr>
            </w:pPr>
            <w:r>
              <w:rPr>
                <w:rFonts w:hint="eastAsia" w:ascii="宋体" w:hAnsi="宋体" w:eastAsia="宋体" w:cs="宋体"/>
                <w:color w:val="auto"/>
                <w:sz w:val="24"/>
                <w:szCs w:val="24"/>
                <w:highlight w:val="none"/>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color w:val="auto"/>
                <w:sz w:val="24"/>
                <w:szCs w:val="24"/>
                <w:highlight w:val="none"/>
              </w:rPr>
            </w:pPr>
            <w:r>
              <w:rPr>
                <w:rFonts w:hint="eastAsia" w:ascii="宋体" w:hAnsi="宋体" w:eastAsia="宋体" w:cs="宋体"/>
                <w:color w:val="auto"/>
                <w:sz w:val="24"/>
                <w:szCs w:val="24"/>
                <w:highlight w:val="none"/>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color w:val="auto"/>
                <w:sz w:val="24"/>
                <w:szCs w:val="24"/>
                <w:highlight w:val="none"/>
                <w:lang w:val="en-US" w:eastAsia="zh-CN"/>
              </w:rPr>
            </w:pPr>
            <w:r>
              <w:rPr>
                <w:rFonts w:hint="eastAsia" w:ascii="宋体" w:hAnsi="宋体" w:eastAsia="宋体" w:cs="宋体"/>
                <w:color w:val="auto"/>
                <w:sz w:val="24"/>
                <w:szCs w:val="24"/>
                <w:highlight w:val="none"/>
              </w:rPr>
              <w:t>报价品牌：         型号：           产地：</w:t>
            </w:r>
            <w:r>
              <w:rPr>
                <w:rFonts w:hint="eastAsia" w:ascii="宋体" w:hAnsi="宋体" w:eastAsia="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报价产品</w:t>
            </w:r>
            <w:r>
              <w:rPr>
                <w:rFonts w:hint="eastAsia" w:ascii="宋体" w:hAnsi="宋体" w:eastAsia="宋体" w:cs="宋体"/>
                <w:b/>
                <w:bCs/>
                <w:color w:val="auto"/>
                <w:sz w:val="24"/>
                <w:szCs w:val="24"/>
                <w:highlight w:val="none"/>
                <w:lang w:val="en-US" w:eastAsia="zh-CN"/>
              </w:rPr>
              <w:t>生产商</w:t>
            </w:r>
            <w:r>
              <w:rPr>
                <w:rFonts w:hint="eastAsia" w:ascii="宋体" w:hAnsi="宋体" w:eastAsia="宋体" w:cs="宋体"/>
                <w:color w:val="auto"/>
                <w:sz w:val="24"/>
                <w:szCs w:val="24"/>
                <w:highlight w:val="none"/>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         元（总价</w:t>
            </w:r>
            <w:r>
              <w:rPr>
                <w:rFonts w:hint="eastAsia" w:ascii="宋体" w:hAnsi="宋体" w:eastAsia="宋体" w:cs="宋体"/>
                <w:color w:val="auto"/>
                <w:sz w:val="24"/>
                <w:szCs w:val="24"/>
                <w:highlight w:val="none"/>
                <w:lang w:eastAsia="zh-CN"/>
              </w:rPr>
              <w:t>，附分项报价表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质保期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报价需含</w:t>
            </w:r>
            <w:r>
              <w:rPr>
                <w:rFonts w:hint="eastAsia" w:ascii="宋体" w:hAnsi="宋体" w:eastAsia="宋体" w:cs="宋体"/>
                <w:color w:val="auto"/>
                <w:sz w:val="24"/>
                <w:szCs w:val="24"/>
                <w:highlight w:val="none"/>
              </w:rPr>
              <w:t>货物</w:t>
            </w:r>
            <w:r>
              <w:rPr>
                <w:rFonts w:ascii="宋体" w:hAnsi="宋体" w:eastAsia="宋体" w:cs="宋体"/>
                <w:color w:val="auto"/>
                <w:sz w:val="24"/>
                <w:szCs w:val="24"/>
                <w:highlight w:val="none"/>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项目技术</w:t>
            </w:r>
            <w:r>
              <w:rPr>
                <w:rFonts w:hint="eastAsia" w:ascii="宋体" w:hAnsi="宋体" w:eastAsia="宋体" w:cs="Times New Roman"/>
                <w:b/>
                <w:color w:val="auto"/>
                <w:sz w:val="24"/>
                <w:szCs w:val="24"/>
                <w:highlight w:val="none"/>
                <w:lang w:eastAsia="zh-CN"/>
              </w:rPr>
              <w:t>及</w:t>
            </w:r>
            <w:r>
              <w:rPr>
                <w:rFonts w:hint="eastAsia" w:ascii="宋体" w:hAnsi="宋体" w:eastAsia="宋体" w:cs="Times New Roman"/>
                <w:b/>
                <w:color w:val="auto"/>
                <w:sz w:val="24"/>
                <w:szCs w:val="24"/>
                <w:highlight w:val="none"/>
              </w:rPr>
              <w:t>要求</w:t>
            </w:r>
          </w:p>
        </w:tc>
        <w:tc>
          <w:tcPr>
            <w:tcW w:w="1701" w:type="dxa"/>
          </w:tcPr>
          <w:p>
            <w:pPr>
              <w:spacing w:line="276" w:lineRule="auto"/>
              <w:jc w:val="center"/>
              <w:rPr>
                <w:rFonts w:ascii="宋体" w:hAnsi="宋体"/>
                <w:b/>
                <w:color w:val="auto"/>
                <w:sz w:val="24"/>
                <w:szCs w:val="24"/>
                <w:highlight w:val="none"/>
              </w:rPr>
            </w:pPr>
            <w:r>
              <w:rPr>
                <w:rFonts w:hint="eastAsia" w:ascii="宋体" w:hAnsi="宋体" w:eastAsia="宋体" w:cs="宋体"/>
                <w:color w:val="auto"/>
                <w:sz w:val="24"/>
                <w:szCs w:val="24"/>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见附件</w:t>
            </w:r>
          </w:p>
        </w:tc>
        <w:tc>
          <w:tcPr>
            <w:tcW w:w="1701" w:type="dxa"/>
          </w:tcPr>
          <w:p>
            <w:pPr>
              <w:spacing w:line="276" w:lineRule="auto"/>
              <w:jc w:val="left"/>
              <w:rPr>
                <w:rFonts w:ascii="宋体" w:hAnsi="宋体"/>
                <w:b/>
                <w:color w:val="auto"/>
                <w:sz w:val="24"/>
                <w:szCs w:val="24"/>
                <w:highlight w:val="none"/>
              </w:rPr>
            </w:pPr>
          </w:p>
        </w:tc>
      </w:tr>
    </w:tbl>
    <w:p>
      <w:pPr>
        <w:jc w:val="left"/>
        <w:rPr>
          <w:b/>
          <w:color w:val="auto"/>
          <w:sz w:val="28"/>
          <w:szCs w:val="28"/>
          <w:highlight w:val="none"/>
        </w:rPr>
      </w:pPr>
    </w:p>
    <w:p>
      <w:pPr>
        <w:jc w:val="left"/>
        <w:rPr>
          <w:rFonts w:hint="eastAsia"/>
          <w:b/>
          <w:color w:val="auto"/>
          <w:sz w:val="28"/>
          <w:szCs w:val="28"/>
          <w:highlight w:val="none"/>
        </w:rPr>
      </w:pPr>
      <w:r>
        <w:rPr>
          <w:rFonts w:hint="eastAsia"/>
          <w:b/>
          <w:color w:val="auto"/>
          <w:sz w:val="28"/>
          <w:szCs w:val="28"/>
          <w:highlight w:val="none"/>
        </w:rPr>
        <w:t>备注：供应商还需提供投标产品成交记录:合同扫描件/中标通知书扫描件/公示结果网络链接及截图均可,能从中看出投标产品型号配置等信息。</w:t>
      </w:r>
    </w:p>
    <w:p>
      <w:pPr>
        <w:jc w:val="left"/>
        <w:rPr>
          <w:rFonts w:hint="eastAsia"/>
          <w:b/>
          <w:color w:val="auto"/>
          <w:sz w:val="28"/>
          <w:szCs w:val="28"/>
          <w:highlight w:val="none"/>
          <w:lang w:eastAsia="zh-CN"/>
        </w:rPr>
      </w:pPr>
    </w:p>
    <w:p>
      <w:pPr>
        <w:rPr>
          <w:color w:val="auto"/>
          <w:highlight w:val="none"/>
        </w:rPr>
      </w:pPr>
      <w:r>
        <w:rPr>
          <w:color w:val="auto"/>
          <w:highlight w:val="none"/>
        </w:rPr>
        <w:br w:type="page"/>
      </w:r>
    </w:p>
    <w:p>
      <w:pPr>
        <w:bidi w:val="0"/>
        <w:rPr>
          <w:rFonts w:hint="eastAsia" w:ascii="宋体" w:hAnsi="宋体" w:eastAsia="宋体" w:cs="宋体"/>
          <w:color w:val="auto"/>
          <w:highlight w:val="none"/>
          <w:lang w:eastAsia="zh-CN"/>
        </w:rPr>
      </w:pPr>
      <w:bookmarkStart w:id="0" w:name="_Toc98942879"/>
      <w:bookmarkStart w:id="1" w:name="_Toc19113857"/>
      <w:r>
        <w:rPr>
          <w:rFonts w:hint="eastAsia"/>
          <w:color w:val="auto"/>
          <w:highlight w:val="none"/>
          <w:lang w:eastAsia="zh-CN"/>
        </w:rPr>
        <w:t>附件</w:t>
      </w:r>
    </w:p>
    <w:p>
      <w:pPr>
        <w:pStyle w:val="4"/>
        <w:spacing w:line="360" w:lineRule="auto"/>
        <w:rPr>
          <w:rFonts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篇 项目技术/服务要求</w:t>
      </w:r>
      <w:bookmarkEnd w:id="0"/>
      <w:bookmarkEnd w:id="1"/>
    </w:p>
    <w:p>
      <w:pPr>
        <w:pStyle w:val="5"/>
        <w:spacing w:line="360" w:lineRule="auto"/>
        <w:jc w:val="center"/>
        <w:rPr>
          <w:rFonts w:hAnsi="宋体"/>
          <w:color w:val="auto"/>
          <w:sz w:val="24"/>
          <w:szCs w:val="24"/>
          <w:highlight w:val="none"/>
        </w:rPr>
      </w:pPr>
    </w:p>
    <w:p>
      <w:pPr>
        <w:pStyle w:val="5"/>
      </w:pPr>
      <w:bookmarkStart w:id="2" w:name="_Toc98942880"/>
      <w:r>
        <w:rPr>
          <w:rFonts w:hint="eastAsia"/>
        </w:rPr>
        <w:t>一、</w:t>
      </w:r>
      <w:r>
        <w:rPr>
          <w:rFonts w:hint="eastAsia"/>
          <w:lang w:eastAsia="zh-CN"/>
        </w:rPr>
        <w:t>采购</w:t>
      </w:r>
      <w:r>
        <w:rPr>
          <w:rFonts w:hint="eastAsia"/>
        </w:rPr>
        <w:t>项目一览表</w:t>
      </w:r>
      <w:bookmarkEnd w:id="2"/>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临床教学管理系统</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宋体" w:cs="宋体"/>
                <w:sz w:val="21"/>
                <w:szCs w:val="21"/>
                <w:lang w:val="en-US" w:eastAsia="zh-CN"/>
              </w:rPr>
            </w:pPr>
            <w:r>
              <w:rPr>
                <w:rFonts w:hint="eastAsia" w:hAnsi="宋体" w:cs="宋体"/>
                <w:sz w:val="21"/>
                <w:szCs w:val="21"/>
                <w:lang w:val="en-US" w:eastAsia="zh-CN"/>
              </w:rPr>
              <w:t>1套</w:t>
            </w:r>
          </w:p>
        </w:tc>
      </w:tr>
    </w:tbl>
    <w:p/>
    <w:p>
      <w:pPr>
        <w:pStyle w:val="5"/>
        <w:rPr>
          <w:rFonts w:ascii="Arial" w:hAnsi="Arial"/>
          <w:b/>
          <w:bCs/>
          <w:kern w:val="2"/>
          <w:sz w:val="28"/>
          <w:szCs w:val="32"/>
        </w:rPr>
      </w:pPr>
      <w:bookmarkStart w:id="3" w:name="_Toc98942881"/>
      <w:r>
        <w:rPr>
          <w:rFonts w:hint="eastAsia"/>
        </w:rPr>
        <w:t>二、</w:t>
      </w:r>
      <w:r>
        <w:rPr>
          <w:rFonts w:hint="eastAsia"/>
          <w:lang w:eastAsia="zh-CN"/>
        </w:rPr>
        <w:t>采购</w:t>
      </w:r>
      <w:r>
        <w:rPr>
          <w:rFonts w:hint="eastAsia"/>
        </w:rPr>
        <w:t>项目技术</w:t>
      </w:r>
      <w:r>
        <w:rPr>
          <w:rFonts w:hint="eastAsia"/>
          <w:lang w:val="en-US" w:eastAsia="zh-CN"/>
        </w:rPr>
        <w:t>/服务</w:t>
      </w:r>
      <w:r>
        <w:rPr>
          <w:rFonts w:hint="eastAsia"/>
        </w:rPr>
        <w:t>要求</w:t>
      </w:r>
      <w:bookmarkEnd w:id="3"/>
      <w:bookmarkStart w:id="17" w:name="_GoBack"/>
      <w:bookmarkEnd w:id="17"/>
    </w:p>
    <w:tbl>
      <w:tblPr>
        <w:tblStyle w:val="12"/>
        <w:tblpPr w:leftFromText="180" w:rightFromText="180" w:vertAnchor="text" w:horzAnchor="margin" w:tblpY="225"/>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0"/>
        <w:gridCol w:w="7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7" w:type="dxa"/>
            <w:vAlign w:val="center"/>
          </w:tcPr>
          <w:p>
            <w:pPr>
              <w:bidi w:val="0"/>
              <w:jc w:val="center"/>
              <w:rPr>
                <w:rFonts w:hint="default"/>
                <w:sz w:val="24"/>
                <w:szCs w:val="24"/>
                <w:lang w:val="en-US" w:eastAsia="zh-CN"/>
              </w:rPr>
            </w:pPr>
            <w:r>
              <w:rPr>
                <w:rFonts w:hint="eastAsia"/>
                <w:sz w:val="24"/>
                <w:szCs w:val="24"/>
                <w:lang w:val="en-US" w:eastAsia="zh-CN"/>
              </w:rPr>
              <w:t>序号</w:t>
            </w:r>
          </w:p>
        </w:tc>
        <w:tc>
          <w:tcPr>
            <w:tcW w:w="1310" w:type="dxa"/>
            <w:vAlign w:val="center"/>
          </w:tcPr>
          <w:p>
            <w:pPr>
              <w:bidi w:val="0"/>
              <w:jc w:val="center"/>
              <w:rPr>
                <w:rFonts w:hint="default"/>
                <w:sz w:val="24"/>
                <w:szCs w:val="24"/>
                <w:lang w:val="en-US" w:eastAsia="zh-CN"/>
              </w:rPr>
            </w:pPr>
            <w:r>
              <w:rPr>
                <w:rFonts w:hint="eastAsia"/>
                <w:sz w:val="24"/>
                <w:szCs w:val="24"/>
                <w:lang w:val="en-US" w:eastAsia="zh-CN"/>
              </w:rPr>
              <w:t>功能模块</w:t>
            </w:r>
          </w:p>
        </w:tc>
        <w:tc>
          <w:tcPr>
            <w:tcW w:w="7073" w:type="dxa"/>
            <w:vAlign w:val="center"/>
          </w:tcPr>
          <w:p>
            <w:pPr>
              <w:bidi w:val="0"/>
              <w:jc w:val="center"/>
              <w:rPr>
                <w:rFonts w:hint="default"/>
                <w:sz w:val="24"/>
                <w:szCs w:val="24"/>
                <w:lang w:val="en-US" w:eastAsia="zh-CN"/>
              </w:rPr>
            </w:pPr>
            <w:r>
              <w:rPr>
                <w:rFonts w:hint="eastAsia"/>
                <w:sz w:val="24"/>
                <w:szCs w:val="24"/>
                <w:lang w:val="en-US" w:eastAsia="zh-CN"/>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7" w:type="dxa"/>
            <w:vAlign w:val="center"/>
          </w:tcPr>
          <w:p>
            <w:pPr>
              <w:bidi w:val="0"/>
              <w:jc w:val="center"/>
              <w:rPr>
                <w:rFonts w:hint="eastAsia"/>
                <w:sz w:val="24"/>
                <w:szCs w:val="24"/>
                <w:lang w:val="en-US" w:eastAsia="zh-CN"/>
              </w:rPr>
            </w:pPr>
            <w:r>
              <w:rPr>
                <w:rFonts w:hint="eastAsia"/>
                <w:sz w:val="24"/>
                <w:szCs w:val="24"/>
                <w:lang w:val="en-US" w:eastAsia="zh-CN"/>
              </w:rPr>
              <w:t>1</w:t>
            </w:r>
          </w:p>
        </w:tc>
        <w:tc>
          <w:tcPr>
            <w:tcW w:w="1310" w:type="dxa"/>
            <w:vAlign w:val="center"/>
          </w:tcPr>
          <w:p>
            <w:pPr>
              <w:bidi w:val="0"/>
              <w:jc w:val="center"/>
              <w:rPr>
                <w:rFonts w:hint="eastAsia"/>
                <w:sz w:val="24"/>
                <w:szCs w:val="24"/>
              </w:rPr>
            </w:pPr>
            <w:r>
              <w:rPr>
                <w:rFonts w:hint="eastAsia"/>
                <w:sz w:val="24"/>
                <w:szCs w:val="24"/>
                <w:lang w:val="en-US" w:eastAsia="zh-CN"/>
              </w:rPr>
              <w:t>总体要求</w:t>
            </w:r>
          </w:p>
        </w:tc>
        <w:tc>
          <w:tcPr>
            <w:tcW w:w="7073" w:type="dxa"/>
            <w:vAlign w:val="center"/>
          </w:tcPr>
          <w:p>
            <w:pPr>
              <w:bidi w:val="0"/>
              <w:jc w:val="left"/>
              <w:rPr>
                <w:sz w:val="24"/>
                <w:szCs w:val="24"/>
              </w:rPr>
            </w:pPr>
            <w:r>
              <w:rPr>
                <w:rFonts w:hint="eastAsia"/>
                <w:sz w:val="24"/>
                <w:szCs w:val="24"/>
                <w:lang w:eastAsia="zh-CN"/>
              </w:rPr>
              <w:t>平台基于B/S网络架构，支持PC端及移动端，致少支持1000个以上客户端同时上线访问服务器，支持用户和用户组权限统一设置维护；支持各教学管理模块运行在统一平台，数据共享。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Align w:val="center"/>
          </w:tcPr>
          <w:p>
            <w:pPr>
              <w:bidi w:val="0"/>
              <w:jc w:val="center"/>
              <w:rPr>
                <w:rFonts w:hint="eastAsia"/>
                <w:sz w:val="24"/>
                <w:szCs w:val="24"/>
                <w:lang w:val="en-US" w:eastAsia="zh-CN"/>
              </w:rPr>
            </w:pPr>
            <w:r>
              <w:rPr>
                <w:rFonts w:hint="eastAsia"/>
                <w:sz w:val="24"/>
                <w:szCs w:val="24"/>
                <w:lang w:val="en-US" w:eastAsia="zh-CN"/>
              </w:rPr>
              <w:t>2</w:t>
            </w:r>
          </w:p>
        </w:tc>
        <w:tc>
          <w:tcPr>
            <w:tcW w:w="1310" w:type="dxa"/>
            <w:vAlign w:val="center"/>
          </w:tcPr>
          <w:p>
            <w:pPr>
              <w:bidi w:val="0"/>
              <w:jc w:val="center"/>
              <w:rPr>
                <w:rFonts w:hint="eastAsia"/>
                <w:sz w:val="24"/>
                <w:szCs w:val="24"/>
                <w:lang w:val="en-US" w:eastAsia="zh-CN"/>
              </w:rPr>
            </w:pPr>
            <w:r>
              <w:rPr>
                <w:rFonts w:hint="eastAsia"/>
                <w:sz w:val="24"/>
                <w:szCs w:val="24"/>
                <w:lang w:val="en-US" w:eastAsia="zh-CN"/>
              </w:rPr>
              <w:t>系统设置</w:t>
            </w:r>
          </w:p>
          <w:p>
            <w:pPr>
              <w:bidi w:val="0"/>
              <w:jc w:val="center"/>
              <w:rPr>
                <w:rFonts w:hint="eastAsia"/>
                <w:sz w:val="24"/>
                <w:szCs w:val="24"/>
              </w:rPr>
            </w:pPr>
          </w:p>
        </w:tc>
        <w:tc>
          <w:tcPr>
            <w:tcW w:w="7073" w:type="dxa"/>
            <w:vAlign w:val="center"/>
          </w:tcPr>
          <w:p>
            <w:pPr>
              <w:bidi w:val="0"/>
              <w:jc w:val="left"/>
              <w:rPr>
                <w:rFonts w:hint="eastAsia"/>
                <w:sz w:val="24"/>
                <w:szCs w:val="24"/>
                <w:lang w:val="en-US" w:eastAsia="zh-CN"/>
              </w:rPr>
            </w:pPr>
            <w:r>
              <w:rPr>
                <w:rFonts w:hint="eastAsia"/>
                <w:sz w:val="24"/>
                <w:szCs w:val="24"/>
                <w:lang w:val="en-US" w:eastAsia="zh-CN"/>
              </w:rPr>
              <w:t>1.科室管理支持树形多层级结构分布，科室树结构至少支持到5层。可将科室分成多个带教组，可设置轮转容量，发布科室介绍，允许一个科室秘书管理多个不同科室。支持为管理人员配置不同的分管科室，方便管理不同的科室及人员；</w:t>
            </w:r>
          </w:p>
          <w:p>
            <w:pPr>
              <w:bidi w:val="0"/>
              <w:jc w:val="left"/>
              <w:rPr>
                <w:sz w:val="24"/>
                <w:szCs w:val="24"/>
              </w:rPr>
            </w:pPr>
            <w:r>
              <w:rPr>
                <w:rFonts w:hint="eastAsia"/>
                <w:sz w:val="24"/>
                <w:szCs w:val="24"/>
                <w:lang w:val="en-US" w:eastAsia="zh-CN"/>
              </w:rPr>
              <w:t>2.支持基地和科室群组管理，可单独为基地、科室、督导建立不同群组，可将多个专业基地设为一个基地组，配置教学小组，将多个科室设置为一个科室组，配置带教小组；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vAlign w:val="center"/>
          </w:tcPr>
          <w:p>
            <w:pPr>
              <w:bidi w:val="0"/>
              <w:jc w:val="center"/>
              <w:rPr>
                <w:rFonts w:hint="eastAsia"/>
                <w:sz w:val="24"/>
                <w:szCs w:val="24"/>
                <w:lang w:val="en-US" w:eastAsia="zh-CN"/>
              </w:rPr>
            </w:pPr>
            <w:r>
              <w:rPr>
                <w:rFonts w:hint="eastAsia"/>
                <w:sz w:val="24"/>
                <w:szCs w:val="24"/>
                <w:lang w:val="en-US" w:eastAsia="zh-CN"/>
              </w:rPr>
              <w:t>3</w:t>
            </w:r>
          </w:p>
        </w:tc>
        <w:tc>
          <w:tcPr>
            <w:tcW w:w="1310" w:type="dxa"/>
            <w:vAlign w:val="center"/>
          </w:tcPr>
          <w:p>
            <w:pPr>
              <w:bidi w:val="0"/>
              <w:jc w:val="center"/>
              <w:rPr>
                <w:rFonts w:hint="eastAsia"/>
                <w:sz w:val="24"/>
                <w:szCs w:val="24"/>
              </w:rPr>
            </w:pPr>
            <w:r>
              <w:rPr>
                <w:rFonts w:hint="eastAsia"/>
                <w:sz w:val="24"/>
                <w:szCs w:val="24"/>
              </w:rPr>
              <w:t>通知提醒</w:t>
            </w:r>
          </w:p>
        </w:tc>
        <w:tc>
          <w:tcPr>
            <w:tcW w:w="7073" w:type="dxa"/>
            <w:shd w:val="clear" w:color="auto" w:fill="auto"/>
            <w:vAlign w:val="center"/>
          </w:tcPr>
          <w:p>
            <w:pPr>
              <w:bidi w:val="0"/>
              <w:jc w:val="left"/>
              <w:rPr>
                <w:rFonts w:hint="eastAsia"/>
                <w:sz w:val="24"/>
                <w:szCs w:val="24"/>
              </w:rPr>
            </w:pPr>
            <w:r>
              <w:rPr>
                <w:rFonts w:hint="eastAsia"/>
                <w:sz w:val="24"/>
                <w:szCs w:val="24"/>
              </w:rPr>
              <w:t>1.支持配置各类提醒功能的开关起停用状态，需要支持对学员、带教老师、科室秘书等多种角色进行提醒；</w:t>
            </w:r>
          </w:p>
          <w:p>
            <w:pPr>
              <w:bidi w:val="0"/>
              <w:jc w:val="left"/>
              <w:rPr>
                <w:rFonts w:hint="eastAsia"/>
                <w:sz w:val="24"/>
                <w:szCs w:val="24"/>
              </w:rPr>
            </w:pPr>
            <w:r>
              <w:rPr>
                <w:rFonts w:hint="eastAsia"/>
                <w:sz w:val="24"/>
                <w:szCs w:val="24"/>
              </w:rPr>
              <w:t>2.根据不同的角色在首页显示不同的待办工作，应包含今日日程、待办工作、审核待办功能，方便管理人员及时掌握自己应处理的工作事项；</w:t>
            </w:r>
          </w:p>
          <w:p>
            <w:pPr>
              <w:bidi w:val="0"/>
              <w:jc w:val="left"/>
              <w:rPr>
                <w:rFonts w:hint="eastAsia"/>
                <w:sz w:val="24"/>
                <w:szCs w:val="24"/>
                <w:lang w:val="en-US" w:eastAsia="zh-CN"/>
              </w:rPr>
            </w:pPr>
            <w:r>
              <w:rPr>
                <w:rFonts w:hint="eastAsia"/>
                <w:sz w:val="24"/>
                <w:szCs w:val="24"/>
              </w:rPr>
              <w:t>3.支持微信服务通知模式，支持教学活动、考勤、出科申请等至少15种业务的微信通知服务，是否使用微信通知可逐项开关设置起停用状态，方便院方自定义选用。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dxa"/>
            <w:vAlign w:val="center"/>
          </w:tcPr>
          <w:p>
            <w:pPr>
              <w:bidi w:val="0"/>
              <w:jc w:val="center"/>
              <w:rPr>
                <w:rFonts w:hint="eastAsia"/>
                <w:sz w:val="24"/>
                <w:szCs w:val="24"/>
                <w:lang w:val="en-US" w:eastAsia="zh-CN"/>
              </w:rPr>
            </w:pPr>
            <w:r>
              <w:rPr>
                <w:rFonts w:hint="eastAsia"/>
                <w:sz w:val="24"/>
                <w:szCs w:val="24"/>
                <w:lang w:val="en-US" w:eastAsia="zh-CN"/>
              </w:rPr>
              <w:t>4</w:t>
            </w:r>
          </w:p>
        </w:tc>
        <w:tc>
          <w:tcPr>
            <w:tcW w:w="1310" w:type="dxa"/>
            <w:vAlign w:val="center"/>
          </w:tcPr>
          <w:p>
            <w:pPr>
              <w:bidi w:val="0"/>
              <w:jc w:val="center"/>
              <w:rPr>
                <w:rFonts w:hint="default"/>
                <w:sz w:val="24"/>
                <w:szCs w:val="24"/>
                <w:lang w:val="en-US" w:eastAsia="zh-CN"/>
              </w:rPr>
            </w:pPr>
            <w:r>
              <w:rPr>
                <w:rFonts w:hint="eastAsia"/>
                <w:sz w:val="24"/>
                <w:szCs w:val="24"/>
                <w:lang w:val="en-US" w:eastAsia="zh-CN"/>
              </w:rPr>
              <w:t>人员管理</w:t>
            </w:r>
          </w:p>
        </w:tc>
        <w:tc>
          <w:tcPr>
            <w:tcW w:w="7073" w:type="dxa"/>
            <w:shd w:val="clear" w:color="auto" w:fill="auto"/>
            <w:vAlign w:val="center"/>
          </w:tcPr>
          <w:p>
            <w:pPr>
              <w:bidi w:val="0"/>
              <w:jc w:val="left"/>
              <w:rPr>
                <w:rFonts w:hint="eastAsia"/>
                <w:sz w:val="24"/>
                <w:szCs w:val="24"/>
              </w:rPr>
            </w:pPr>
            <w:r>
              <w:rPr>
                <w:rFonts w:hint="eastAsia"/>
                <w:sz w:val="24"/>
                <w:szCs w:val="24"/>
              </w:rPr>
              <w:t>1.轮转生涯：汇总记录学员的详细轮转生涯情况，除轮转科室、出入科时间、带教老师等信息外，还能记录学员的毕结业情况、表彰奖励情况、差错事故情况、论文文章及证书记录等。同时需记录与导师的师生定期互动记录；</w:t>
            </w:r>
          </w:p>
          <w:p>
            <w:pPr>
              <w:bidi w:val="0"/>
              <w:jc w:val="left"/>
              <w:rPr>
                <w:rFonts w:hint="eastAsia"/>
                <w:sz w:val="24"/>
                <w:szCs w:val="24"/>
              </w:rPr>
            </w:pPr>
            <w:r>
              <w:rPr>
                <w:rFonts w:hint="eastAsia"/>
                <w:sz w:val="24"/>
                <w:szCs w:val="24"/>
              </w:rPr>
              <w:t>2.支持登记学员各类平时成绩，可单独登记学员年度考核、季度考核、月度考核分项成绩，支持单独登记执业医师资格证考试成绩，支持自定义分类考试成绩登记；</w:t>
            </w:r>
          </w:p>
          <w:p>
            <w:pPr>
              <w:bidi w:val="0"/>
              <w:jc w:val="left"/>
              <w:rPr>
                <w:rFonts w:hint="eastAsia"/>
                <w:sz w:val="24"/>
                <w:szCs w:val="24"/>
              </w:rPr>
            </w:pPr>
            <w:r>
              <w:rPr>
                <w:rFonts w:hint="eastAsia"/>
                <w:sz w:val="24"/>
                <w:szCs w:val="24"/>
              </w:rPr>
              <w:t>3.支持管理部门批量导出多学员的照片附件，批量导出的人员名单可筛选范围，导出的压缩包文件中包含的照片文件名需支持管理人员自定义；</w:t>
            </w:r>
          </w:p>
          <w:p>
            <w:pPr>
              <w:bidi w:val="0"/>
              <w:jc w:val="left"/>
              <w:rPr>
                <w:rFonts w:hint="eastAsia"/>
                <w:sz w:val="24"/>
                <w:szCs w:val="24"/>
              </w:rPr>
            </w:pPr>
            <w:r>
              <w:rPr>
                <w:rFonts w:hint="eastAsia"/>
                <w:sz w:val="24"/>
                <w:szCs w:val="24"/>
              </w:rPr>
              <w:t>4.支持学员档案汇总生涯页面，在一个页面中显示学员档案综合信息。支持将学员档案直接导出生成在一份word文档中，该文档需包含学员的完整轮转生涯，以及参加的教学活动清单；</w:t>
            </w:r>
          </w:p>
          <w:p>
            <w:pPr>
              <w:bidi w:val="0"/>
              <w:jc w:val="left"/>
              <w:rPr>
                <w:rFonts w:hint="eastAsia"/>
                <w:sz w:val="24"/>
                <w:szCs w:val="24"/>
              </w:rPr>
            </w:pPr>
            <w:r>
              <w:rPr>
                <w:rFonts w:hint="eastAsia"/>
                <w:sz w:val="24"/>
                <w:szCs w:val="24"/>
              </w:rPr>
              <w:t>5.师资生涯：汇总记录师资的详细师资聘用解聘及教学情况，除带教学员记录、导师指导记录外，还能记录师资的培训进修情况、教学聘任情况、表彰奖励情况、差错事故情况、论文文章及证书记录等。同时需记录与指导学生的师生定期互动记录；</w:t>
            </w:r>
          </w:p>
          <w:p>
            <w:pPr>
              <w:bidi w:val="0"/>
              <w:jc w:val="left"/>
              <w:rPr>
                <w:rFonts w:hint="eastAsia"/>
                <w:sz w:val="24"/>
                <w:szCs w:val="24"/>
              </w:rPr>
            </w:pPr>
            <w:r>
              <w:rPr>
                <w:rFonts w:hint="eastAsia"/>
                <w:sz w:val="24"/>
                <w:szCs w:val="24"/>
              </w:rPr>
              <w:t>6.支持各类人员统计报表，需支持统计在岗的学员人数、师资人数，能按月显示人员进出和变化情况，支持汇总学员的轮转生涯统计，汇总师资的带教生涯统计；</w:t>
            </w:r>
          </w:p>
          <w:p>
            <w:pPr>
              <w:bidi w:val="0"/>
              <w:jc w:val="left"/>
              <w:rPr>
                <w:rFonts w:hint="eastAsia"/>
                <w:sz w:val="24"/>
                <w:szCs w:val="24"/>
                <w:lang w:val="en-US" w:eastAsia="zh-CN"/>
              </w:rPr>
            </w:pPr>
            <w:r>
              <w:rPr>
                <w:rFonts w:hint="eastAsia"/>
                <w:sz w:val="24"/>
                <w:szCs w:val="24"/>
              </w:rPr>
              <w:t>7.支持学员自行申请责任导师，支持申请优先第一人、顺位第二人，支持调剂，可统计各个导师的申请热度。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bidi w:val="0"/>
              <w:jc w:val="center"/>
              <w:rPr>
                <w:rFonts w:hint="eastAsia" w:eastAsia="宋体"/>
                <w:sz w:val="24"/>
                <w:szCs w:val="24"/>
                <w:lang w:val="en-US" w:eastAsia="zh-CN"/>
              </w:rPr>
            </w:pPr>
            <w:r>
              <w:rPr>
                <w:rFonts w:hint="eastAsia"/>
                <w:sz w:val="24"/>
                <w:szCs w:val="24"/>
                <w:lang w:val="en-US" w:eastAsia="zh-CN"/>
              </w:rPr>
              <w:t>5</w:t>
            </w:r>
          </w:p>
        </w:tc>
        <w:tc>
          <w:tcPr>
            <w:tcW w:w="1310" w:type="dxa"/>
            <w:vAlign w:val="center"/>
          </w:tcPr>
          <w:p>
            <w:pPr>
              <w:bidi w:val="0"/>
              <w:jc w:val="center"/>
              <w:rPr>
                <w:rFonts w:hint="eastAsia"/>
                <w:sz w:val="24"/>
                <w:szCs w:val="24"/>
              </w:rPr>
            </w:pPr>
            <w:r>
              <w:rPr>
                <w:rFonts w:hint="eastAsia"/>
                <w:sz w:val="24"/>
                <w:szCs w:val="24"/>
              </w:rPr>
              <w:t>轮转管理</w:t>
            </w:r>
          </w:p>
          <w:p>
            <w:pPr>
              <w:bidi w:val="0"/>
              <w:jc w:val="center"/>
              <w:rPr>
                <w:rFonts w:hint="eastAsia"/>
                <w:sz w:val="24"/>
                <w:szCs w:val="24"/>
              </w:rPr>
            </w:pPr>
          </w:p>
        </w:tc>
        <w:tc>
          <w:tcPr>
            <w:tcW w:w="7073" w:type="dxa"/>
            <w:shd w:val="clear" w:color="auto" w:fill="auto"/>
            <w:vAlign w:val="center"/>
          </w:tcPr>
          <w:p>
            <w:pPr>
              <w:bidi w:val="0"/>
              <w:jc w:val="left"/>
              <w:rPr>
                <w:rFonts w:hint="eastAsia"/>
                <w:sz w:val="24"/>
                <w:szCs w:val="24"/>
              </w:rPr>
            </w:pPr>
            <w:r>
              <w:rPr>
                <w:rFonts w:hint="eastAsia"/>
                <w:sz w:val="24"/>
                <w:szCs w:val="24"/>
              </w:rPr>
              <w:t>1.系统内置西医2022国家标准、西医2014国家标准、西医2020重症医学科标准、西医2020助理全科国家标准、西医2019全科标准、西医2019全科转岗标准，支持不同参培年份的学员使用不同标准，可适配国家、省及自定义培训细则内容；</w:t>
            </w:r>
          </w:p>
          <w:p>
            <w:pPr>
              <w:bidi w:val="0"/>
              <w:jc w:val="left"/>
              <w:rPr>
                <w:rFonts w:hint="eastAsia"/>
                <w:sz w:val="24"/>
                <w:szCs w:val="24"/>
              </w:rPr>
            </w:pPr>
            <w:r>
              <w:rPr>
                <w:rFonts w:hint="eastAsia"/>
                <w:sz w:val="24"/>
                <w:szCs w:val="24"/>
              </w:rPr>
              <w:t>2.智能排班：系统内置智能排版模块，支持按周/半月/月进行轮转排班；支持结合轮转排班模板、科室负载情况自动排班。支持排班结果微调后再发布，支持备份/还原/调整排班结果，支持批量调整后一次性发布；</w:t>
            </w:r>
          </w:p>
          <w:p>
            <w:pPr>
              <w:bidi w:val="0"/>
              <w:jc w:val="left"/>
              <w:rPr>
                <w:rFonts w:hint="eastAsia"/>
                <w:sz w:val="24"/>
                <w:szCs w:val="24"/>
              </w:rPr>
            </w:pPr>
            <w:r>
              <w:rPr>
                <w:rFonts w:hint="eastAsia"/>
                <w:sz w:val="24"/>
                <w:szCs w:val="24"/>
              </w:rPr>
              <w:t>3.支持轮转计划批量导入，支持横排轮、竖排轮转计划格式导入，支持导入时由用户自行选择是否覆盖亦或清除，支持导入时由用户自行确定是否需要合并相同的轮转计划为一条；</w:t>
            </w:r>
          </w:p>
          <w:p>
            <w:pPr>
              <w:bidi w:val="0"/>
              <w:jc w:val="left"/>
              <w:rPr>
                <w:rFonts w:hint="eastAsia"/>
                <w:sz w:val="24"/>
                <w:szCs w:val="24"/>
              </w:rPr>
            </w:pPr>
            <w:r>
              <w:rPr>
                <w:rFonts w:hint="eastAsia"/>
                <w:sz w:val="24"/>
                <w:szCs w:val="24"/>
              </w:rPr>
              <w:t>4.支持微调轮转计划，通过上下移或拖拽方式进行调整、支持轮转计划拆分、合并，支持学员轮转过程中阶段出科；</w:t>
            </w:r>
          </w:p>
          <w:p>
            <w:pPr>
              <w:bidi w:val="0"/>
              <w:jc w:val="left"/>
              <w:rPr>
                <w:rFonts w:hint="eastAsia"/>
                <w:sz w:val="24"/>
                <w:szCs w:val="24"/>
              </w:rPr>
            </w:pPr>
            <w:r>
              <w:rPr>
                <w:rFonts w:hint="eastAsia"/>
                <w:sz w:val="24"/>
                <w:szCs w:val="24"/>
              </w:rPr>
              <w:t>5.支持自行配置出科的各类成绩项，可设置成绩项是否使用、是否必填才允许出科。支持设置成绩项权重，支持按权重自动计算出科总成绩。支持设置自定义成绩项，学员综合成绩只显示启用的成绩项，出科鉴定表能直观实时体现自定义成绩项；</w:t>
            </w:r>
          </w:p>
          <w:p>
            <w:pPr>
              <w:bidi w:val="0"/>
              <w:jc w:val="left"/>
              <w:rPr>
                <w:rFonts w:hint="eastAsia"/>
                <w:sz w:val="24"/>
                <w:szCs w:val="24"/>
              </w:rPr>
            </w:pPr>
            <w:r>
              <w:rPr>
                <w:rFonts w:hint="eastAsia"/>
                <w:sz w:val="24"/>
                <w:szCs w:val="24"/>
              </w:rPr>
              <w:t>6.支持每个成绩项都可以上传佐证附件，并支持上传多个附件。支持配置教学小组并指定组长，支持配置签名，导出学员的轮转记录Word文档自动附带教学小组组长签字；</w:t>
            </w:r>
          </w:p>
          <w:p>
            <w:pPr>
              <w:bidi w:val="0"/>
              <w:jc w:val="left"/>
              <w:rPr>
                <w:rFonts w:hint="eastAsia"/>
                <w:sz w:val="24"/>
                <w:szCs w:val="24"/>
              </w:rPr>
            </w:pPr>
            <w:r>
              <w:rPr>
                <w:rFonts w:hint="eastAsia"/>
                <w:sz w:val="24"/>
                <w:szCs w:val="24"/>
              </w:rPr>
              <w:t>7.支持学员自行登录管理后台维护和管理电子轮转手册，支持自行录入和批量导入电子轮转手册记录，支持学员直接查看轮转是否已经达到国家轮转大纲及细则规定的数量要求，支持直接查看国家轮转大纲及细则的手册；</w:t>
            </w:r>
          </w:p>
          <w:p>
            <w:pPr>
              <w:bidi w:val="0"/>
              <w:jc w:val="left"/>
              <w:rPr>
                <w:rFonts w:hint="eastAsia"/>
                <w:sz w:val="24"/>
                <w:szCs w:val="24"/>
                <w:lang w:val="en-US" w:eastAsia="zh-CN"/>
              </w:rPr>
            </w:pPr>
            <w:r>
              <w:rPr>
                <w:rFonts w:hint="eastAsia"/>
                <w:sz w:val="24"/>
                <w:szCs w:val="24"/>
              </w:rPr>
              <w:t>8.支持批量导出学员的全部轮转记录为一份Word，用于向相关单位申请结业。导出的具体章节内容可自行选择，至少应包含出科申请、出科小结、带教评语、出科考核结果、过程记录、教学活动记录，出科附件、病历书写照片等，支持自行选择是否导出全部轮转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vAlign w:val="center"/>
          </w:tcPr>
          <w:p>
            <w:pPr>
              <w:bidi w:val="0"/>
              <w:jc w:val="center"/>
              <w:rPr>
                <w:rFonts w:hint="eastAsia" w:eastAsia="宋体"/>
                <w:sz w:val="24"/>
                <w:szCs w:val="24"/>
                <w:lang w:val="en-US" w:eastAsia="zh-CN"/>
              </w:rPr>
            </w:pPr>
            <w:r>
              <w:rPr>
                <w:rFonts w:hint="eastAsia"/>
                <w:sz w:val="24"/>
                <w:szCs w:val="24"/>
                <w:lang w:val="en-US" w:eastAsia="zh-CN"/>
              </w:rPr>
              <w:t>6</w:t>
            </w:r>
          </w:p>
        </w:tc>
        <w:tc>
          <w:tcPr>
            <w:tcW w:w="1310" w:type="dxa"/>
            <w:vAlign w:val="center"/>
          </w:tcPr>
          <w:p>
            <w:pPr>
              <w:bidi w:val="0"/>
              <w:jc w:val="center"/>
              <w:rPr>
                <w:rFonts w:hint="eastAsia"/>
                <w:sz w:val="24"/>
                <w:szCs w:val="24"/>
              </w:rPr>
            </w:pPr>
            <w:r>
              <w:rPr>
                <w:rFonts w:hint="eastAsia"/>
                <w:sz w:val="24"/>
                <w:szCs w:val="24"/>
              </w:rPr>
              <w:t>数据统计</w:t>
            </w:r>
          </w:p>
          <w:p>
            <w:pPr>
              <w:bidi w:val="0"/>
              <w:jc w:val="center"/>
              <w:rPr>
                <w:rFonts w:hint="eastAsia"/>
                <w:sz w:val="24"/>
                <w:szCs w:val="24"/>
              </w:rPr>
            </w:pPr>
          </w:p>
        </w:tc>
        <w:tc>
          <w:tcPr>
            <w:tcW w:w="7073" w:type="dxa"/>
            <w:shd w:val="clear" w:color="auto" w:fill="auto"/>
            <w:vAlign w:val="center"/>
          </w:tcPr>
          <w:p>
            <w:pPr>
              <w:bidi w:val="0"/>
              <w:jc w:val="left"/>
              <w:rPr>
                <w:rFonts w:hint="eastAsia"/>
                <w:sz w:val="24"/>
                <w:szCs w:val="24"/>
              </w:rPr>
            </w:pPr>
            <w:r>
              <w:rPr>
                <w:rFonts w:hint="eastAsia"/>
                <w:sz w:val="24"/>
                <w:szCs w:val="24"/>
              </w:rPr>
              <w:t>1.支持学员自行登记电子轮转手册（登记手册），支持登记病种、技能、手术，支持因轮转计划调整导致的异常数据手工调整重新匹配到国家标准的细则要求项目；</w:t>
            </w:r>
          </w:p>
          <w:p>
            <w:pPr>
              <w:bidi w:val="0"/>
              <w:jc w:val="left"/>
              <w:rPr>
                <w:rFonts w:hint="eastAsia"/>
                <w:sz w:val="24"/>
                <w:szCs w:val="24"/>
              </w:rPr>
            </w:pPr>
            <w:r>
              <w:rPr>
                <w:rFonts w:hint="eastAsia"/>
                <w:sz w:val="24"/>
                <w:szCs w:val="24"/>
              </w:rPr>
              <w:t>2.支持住培过程数据自动上报功能，满足主管单位数据收集要求，支持异常数据更新维护及重新上报；</w:t>
            </w:r>
          </w:p>
          <w:p>
            <w:pPr>
              <w:bidi w:val="0"/>
              <w:jc w:val="left"/>
              <w:rPr>
                <w:rFonts w:hint="eastAsia"/>
                <w:sz w:val="24"/>
                <w:szCs w:val="24"/>
                <w:lang w:val="en-US" w:eastAsia="zh-CN"/>
              </w:rPr>
            </w:pPr>
            <w:r>
              <w:rPr>
                <w:rFonts w:hint="eastAsia"/>
                <w:sz w:val="24"/>
                <w:szCs w:val="24"/>
              </w:rPr>
              <w:t>3.根据树形科室上下级报表统计需要，应支持下级科室的统计数据合并到上级科室数据、下级科室的数据单独体现与上级科室数据相互独立、上级数据自动虚拟为下一级单列数据上级数据合并下级所有科室数据等3种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vAlign w:val="center"/>
          </w:tcPr>
          <w:p>
            <w:pPr>
              <w:bidi w:val="0"/>
              <w:jc w:val="center"/>
              <w:rPr>
                <w:rFonts w:hint="eastAsia" w:eastAsia="宋体"/>
                <w:sz w:val="24"/>
                <w:szCs w:val="24"/>
                <w:lang w:val="en-US" w:eastAsia="zh-CN"/>
              </w:rPr>
            </w:pPr>
            <w:r>
              <w:rPr>
                <w:rFonts w:hint="eastAsia"/>
                <w:sz w:val="24"/>
                <w:szCs w:val="24"/>
                <w:lang w:val="en-US" w:eastAsia="zh-CN"/>
              </w:rPr>
              <w:t>7</w:t>
            </w:r>
          </w:p>
        </w:tc>
        <w:tc>
          <w:tcPr>
            <w:tcW w:w="1310" w:type="dxa"/>
            <w:vAlign w:val="center"/>
          </w:tcPr>
          <w:p>
            <w:pPr>
              <w:bidi w:val="0"/>
              <w:jc w:val="center"/>
              <w:rPr>
                <w:rFonts w:hint="eastAsia"/>
                <w:sz w:val="24"/>
                <w:szCs w:val="24"/>
              </w:rPr>
            </w:pPr>
            <w:r>
              <w:rPr>
                <w:rFonts w:hint="eastAsia"/>
                <w:sz w:val="24"/>
                <w:szCs w:val="24"/>
              </w:rPr>
              <w:t>教学活动管理</w:t>
            </w:r>
          </w:p>
          <w:p>
            <w:pPr>
              <w:bidi w:val="0"/>
              <w:jc w:val="center"/>
              <w:rPr>
                <w:rFonts w:hint="eastAsia"/>
                <w:sz w:val="24"/>
                <w:szCs w:val="24"/>
              </w:rPr>
            </w:pPr>
          </w:p>
        </w:tc>
        <w:tc>
          <w:tcPr>
            <w:tcW w:w="7073" w:type="dxa"/>
            <w:shd w:val="clear" w:color="auto" w:fill="auto"/>
            <w:vAlign w:val="center"/>
          </w:tcPr>
          <w:p>
            <w:pPr>
              <w:bidi w:val="0"/>
              <w:jc w:val="left"/>
              <w:rPr>
                <w:rFonts w:hint="eastAsia"/>
                <w:sz w:val="24"/>
                <w:szCs w:val="24"/>
              </w:rPr>
            </w:pPr>
            <w:r>
              <w:rPr>
                <w:rFonts w:hint="eastAsia"/>
                <w:sz w:val="24"/>
                <w:szCs w:val="24"/>
              </w:rPr>
              <w:t>1.教学活动类别可配置，支持配置病例讨论、教学查房、小讲课等不同教学活动类别各自的参数，支持自定义教学活动类别对应为国家标准教学活动类别；</w:t>
            </w:r>
          </w:p>
          <w:p>
            <w:pPr>
              <w:bidi w:val="0"/>
              <w:jc w:val="left"/>
              <w:rPr>
                <w:rFonts w:hint="eastAsia"/>
                <w:sz w:val="24"/>
                <w:szCs w:val="24"/>
              </w:rPr>
            </w:pPr>
            <w:r>
              <w:rPr>
                <w:rFonts w:hint="eastAsia"/>
                <w:sz w:val="24"/>
                <w:szCs w:val="24"/>
              </w:rPr>
              <w:t>2.支持按教学活动类别配合不同的达标计算因子，自动计算达标。达标计算因子至少应包括签到率要求、现场照片数量要求、测评率要求等。达标教学活动展示时能与普通教学活动有明显区别，引导教学实施部门踊跃举办教学活动；</w:t>
            </w:r>
          </w:p>
          <w:p>
            <w:pPr>
              <w:bidi w:val="0"/>
              <w:jc w:val="left"/>
              <w:rPr>
                <w:rFonts w:hint="eastAsia"/>
                <w:sz w:val="24"/>
                <w:szCs w:val="24"/>
              </w:rPr>
            </w:pPr>
            <w:r>
              <w:rPr>
                <w:rFonts w:hint="eastAsia"/>
                <w:sz w:val="24"/>
                <w:szCs w:val="24"/>
              </w:rPr>
              <w:t>3.支持全院公示标杆教学活动，并支持对公示活动进行留言及互动；</w:t>
            </w:r>
          </w:p>
          <w:p>
            <w:pPr>
              <w:bidi w:val="0"/>
              <w:jc w:val="left"/>
              <w:rPr>
                <w:rFonts w:hint="eastAsia"/>
                <w:sz w:val="24"/>
                <w:szCs w:val="24"/>
              </w:rPr>
            </w:pPr>
            <w:r>
              <w:rPr>
                <w:rFonts w:hint="eastAsia"/>
                <w:sz w:val="24"/>
                <w:szCs w:val="24"/>
              </w:rPr>
              <w:t>4.支持动态二维码/静态二维码2种二维码生成方式，实现防伪及防止非现场扫码签到；</w:t>
            </w:r>
          </w:p>
          <w:p>
            <w:pPr>
              <w:bidi w:val="0"/>
              <w:jc w:val="left"/>
              <w:rPr>
                <w:rFonts w:hint="eastAsia"/>
                <w:sz w:val="24"/>
                <w:szCs w:val="24"/>
              </w:rPr>
            </w:pPr>
            <w:r>
              <w:rPr>
                <w:rFonts w:hint="eastAsia"/>
                <w:sz w:val="24"/>
                <w:szCs w:val="24"/>
              </w:rPr>
              <w:t>5.支持各类课件和教案直接在线预览，需支持PDF、Word、Excel、PPT文档的在线预览；</w:t>
            </w:r>
          </w:p>
          <w:p>
            <w:pPr>
              <w:bidi w:val="0"/>
              <w:jc w:val="left"/>
              <w:rPr>
                <w:rFonts w:hint="eastAsia"/>
                <w:sz w:val="24"/>
                <w:szCs w:val="24"/>
                <w:lang w:val="en-US" w:eastAsia="zh-CN"/>
              </w:rPr>
            </w:pPr>
            <w:r>
              <w:rPr>
                <w:rFonts w:hint="eastAsia"/>
                <w:sz w:val="24"/>
                <w:szCs w:val="24"/>
              </w:rPr>
              <w:t>6.教学管理支持学员教员参活次数、教学类别次数年报等至少10种不同统计口径的月年报统计报表。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vAlign w:val="center"/>
          </w:tcPr>
          <w:p>
            <w:pPr>
              <w:bidi w:val="0"/>
              <w:jc w:val="center"/>
              <w:rPr>
                <w:rFonts w:hint="eastAsia" w:eastAsia="宋体"/>
                <w:sz w:val="24"/>
                <w:szCs w:val="24"/>
                <w:lang w:val="en-US" w:eastAsia="zh-CN"/>
              </w:rPr>
            </w:pPr>
            <w:r>
              <w:rPr>
                <w:rFonts w:hint="eastAsia"/>
                <w:sz w:val="24"/>
                <w:szCs w:val="24"/>
                <w:lang w:val="en-US" w:eastAsia="zh-CN"/>
              </w:rPr>
              <w:t>8</w:t>
            </w:r>
          </w:p>
        </w:tc>
        <w:tc>
          <w:tcPr>
            <w:tcW w:w="1310" w:type="dxa"/>
            <w:vAlign w:val="center"/>
          </w:tcPr>
          <w:p>
            <w:pPr>
              <w:bidi w:val="0"/>
              <w:jc w:val="left"/>
              <w:rPr>
                <w:rFonts w:hint="eastAsia"/>
                <w:sz w:val="24"/>
                <w:szCs w:val="24"/>
              </w:rPr>
            </w:pPr>
            <w:r>
              <w:rPr>
                <w:rFonts w:hint="eastAsia"/>
                <w:sz w:val="24"/>
                <w:szCs w:val="24"/>
              </w:rPr>
              <w:t>督导管理</w:t>
            </w:r>
          </w:p>
          <w:p>
            <w:pPr>
              <w:bidi w:val="0"/>
              <w:jc w:val="center"/>
              <w:rPr>
                <w:rFonts w:hint="eastAsia"/>
                <w:sz w:val="24"/>
                <w:szCs w:val="24"/>
              </w:rPr>
            </w:pPr>
          </w:p>
        </w:tc>
        <w:tc>
          <w:tcPr>
            <w:tcW w:w="7073" w:type="dxa"/>
            <w:shd w:val="clear" w:color="auto" w:fill="auto"/>
            <w:vAlign w:val="center"/>
          </w:tcPr>
          <w:p>
            <w:pPr>
              <w:bidi w:val="0"/>
              <w:jc w:val="left"/>
              <w:rPr>
                <w:rFonts w:hint="eastAsia"/>
                <w:sz w:val="24"/>
                <w:szCs w:val="24"/>
              </w:rPr>
            </w:pPr>
            <w:r>
              <w:rPr>
                <w:rFonts w:hint="eastAsia"/>
                <w:sz w:val="24"/>
                <w:szCs w:val="24"/>
              </w:rPr>
              <w:t>1.支持进行多种形式的督导，主要包括教学督导、科室督导、出科督导等；</w:t>
            </w:r>
          </w:p>
          <w:p>
            <w:pPr>
              <w:bidi w:val="0"/>
              <w:jc w:val="left"/>
              <w:rPr>
                <w:rFonts w:hint="eastAsia"/>
                <w:sz w:val="24"/>
                <w:szCs w:val="24"/>
              </w:rPr>
            </w:pPr>
            <w:r>
              <w:rPr>
                <w:rFonts w:hint="eastAsia"/>
                <w:sz w:val="24"/>
                <w:szCs w:val="24"/>
              </w:rPr>
              <w:t>2.支持配置督导专家组，并指定专家组成员。支持批量、随机指定督导专家；</w:t>
            </w:r>
          </w:p>
          <w:p>
            <w:pPr>
              <w:bidi w:val="0"/>
              <w:jc w:val="left"/>
              <w:rPr>
                <w:rFonts w:hint="eastAsia"/>
                <w:sz w:val="24"/>
                <w:szCs w:val="24"/>
                <w:lang w:val="en-US" w:eastAsia="zh-CN"/>
              </w:rPr>
            </w:pPr>
            <w:r>
              <w:rPr>
                <w:rFonts w:hint="eastAsia"/>
                <w:sz w:val="24"/>
                <w:szCs w:val="24"/>
              </w:rPr>
              <w:t>3.支持在线填写整改报告，督导专家可审核并确认整改情况，支持导出督导报告。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vAlign w:val="center"/>
          </w:tcPr>
          <w:p>
            <w:pPr>
              <w:bidi w:val="0"/>
              <w:jc w:val="center"/>
              <w:rPr>
                <w:rFonts w:hint="eastAsia" w:eastAsia="宋体"/>
                <w:sz w:val="24"/>
                <w:szCs w:val="24"/>
                <w:lang w:val="en-US" w:eastAsia="zh-CN"/>
              </w:rPr>
            </w:pPr>
            <w:r>
              <w:rPr>
                <w:rFonts w:hint="eastAsia"/>
                <w:sz w:val="24"/>
                <w:szCs w:val="24"/>
                <w:lang w:val="en-US" w:eastAsia="zh-CN"/>
              </w:rPr>
              <w:t>9</w:t>
            </w:r>
          </w:p>
        </w:tc>
        <w:tc>
          <w:tcPr>
            <w:tcW w:w="1310" w:type="dxa"/>
            <w:vAlign w:val="center"/>
          </w:tcPr>
          <w:p>
            <w:pPr>
              <w:bidi w:val="0"/>
              <w:jc w:val="center"/>
              <w:rPr>
                <w:rFonts w:hint="eastAsia"/>
                <w:sz w:val="24"/>
                <w:szCs w:val="24"/>
              </w:rPr>
            </w:pPr>
            <w:r>
              <w:rPr>
                <w:rFonts w:hint="eastAsia"/>
                <w:sz w:val="24"/>
                <w:szCs w:val="24"/>
              </w:rPr>
              <w:t>考勤请假管理</w:t>
            </w:r>
          </w:p>
          <w:p>
            <w:pPr>
              <w:bidi w:val="0"/>
              <w:jc w:val="center"/>
              <w:rPr>
                <w:rFonts w:hint="eastAsia"/>
                <w:sz w:val="24"/>
                <w:szCs w:val="24"/>
              </w:rPr>
            </w:pPr>
          </w:p>
        </w:tc>
        <w:tc>
          <w:tcPr>
            <w:tcW w:w="7073" w:type="dxa"/>
            <w:shd w:val="clear" w:color="auto" w:fill="auto"/>
            <w:vAlign w:val="center"/>
          </w:tcPr>
          <w:p>
            <w:pPr>
              <w:bidi w:val="0"/>
              <w:jc w:val="left"/>
              <w:rPr>
                <w:rFonts w:hint="eastAsia"/>
                <w:sz w:val="24"/>
                <w:szCs w:val="24"/>
              </w:rPr>
            </w:pPr>
            <w:r>
              <w:rPr>
                <w:rFonts w:hint="eastAsia"/>
                <w:sz w:val="24"/>
                <w:szCs w:val="24"/>
              </w:rPr>
              <w:t>1.支持跨天打卡考勤，第一天晚上打卡签到跨到第二天能自动提示签退；</w:t>
            </w:r>
          </w:p>
          <w:p>
            <w:pPr>
              <w:bidi w:val="0"/>
              <w:jc w:val="left"/>
              <w:rPr>
                <w:rFonts w:hint="eastAsia"/>
                <w:sz w:val="24"/>
                <w:szCs w:val="24"/>
              </w:rPr>
            </w:pPr>
            <w:r>
              <w:rPr>
                <w:rFonts w:hint="eastAsia"/>
                <w:sz w:val="24"/>
                <w:szCs w:val="24"/>
              </w:rPr>
              <w:t>2.支持设置是否允许补考勤，设置每周允许补考勤的次数，设置未排考勤班次时能自由打卡等各类考勤细节控制参数；</w:t>
            </w:r>
          </w:p>
          <w:p>
            <w:pPr>
              <w:bidi w:val="0"/>
              <w:jc w:val="left"/>
              <w:rPr>
                <w:rFonts w:hint="eastAsia"/>
                <w:sz w:val="24"/>
                <w:szCs w:val="24"/>
              </w:rPr>
            </w:pPr>
            <w:r>
              <w:rPr>
                <w:rFonts w:hint="eastAsia"/>
                <w:sz w:val="24"/>
                <w:szCs w:val="24"/>
              </w:rPr>
              <w:t>3.支持扫码打卡(支持一天双卡，一天四卡)和定位打卡，支持可根据不同的考勤班次单独为每个班次设定是采用扫码打卡还是定位打卡，或者两者都用；</w:t>
            </w:r>
          </w:p>
          <w:p>
            <w:pPr>
              <w:bidi w:val="0"/>
              <w:jc w:val="left"/>
              <w:rPr>
                <w:rFonts w:hint="eastAsia"/>
                <w:sz w:val="24"/>
                <w:szCs w:val="24"/>
              </w:rPr>
            </w:pPr>
            <w:r>
              <w:rPr>
                <w:rFonts w:hint="eastAsia"/>
                <w:sz w:val="24"/>
                <w:szCs w:val="24"/>
              </w:rPr>
              <w:t>4.支持自定义请假类型，每个请假类型可配置多个请假审核流程，每个流程都支持多角色审核；</w:t>
            </w:r>
          </w:p>
          <w:p>
            <w:pPr>
              <w:bidi w:val="0"/>
              <w:jc w:val="left"/>
              <w:rPr>
                <w:rFonts w:hint="eastAsia"/>
                <w:sz w:val="24"/>
                <w:szCs w:val="24"/>
              </w:rPr>
            </w:pPr>
            <w:r>
              <w:rPr>
                <w:rFonts w:hint="eastAsia"/>
                <w:sz w:val="24"/>
                <w:szCs w:val="24"/>
              </w:rPr>
              <w:t>5.请假可关联补轮转计划，如果请假时间较长能自动追加请假时的轮转计划，以便达到国家规定的轮转时长要求；</w:t>
            </w:r>
          </w:p>
          <w:p>
            <w:pPr>
              <w:bidi w:val="0"/>
              <w:jc w:val="left"/>
              <w:rPr>
                <w:rFonts w:hint="eastAsia"/>
                <w:sz w:val="24"/>
                <w:szCs w:val="24"/>
              </w:rPr>
            </w:pPr>
            <w:r>
              <w:rPr>
                <w:rFonts w:hint="eastAsia"/>
                <w:sz w:val="24"/>
                <w:szCs w:val="24"/>
              </w:rPr>
              <w:t>6.可自定义请假审核流程，根据请假天数设置不同的审核人员和审核环节，支持维护请假规定、安全协议等；</w:t>
            </w:r>
          </w:p>
          <w:p>
            <w:pPr>
              <w:bidi w:val="0"/>
              <w:jc w:val="left"/>
              <w:rPr>
                <w:rFonts w:hint="eastAsia"/>
                <w:sz w:val="24"/>
                <w:szCs w:val="24"/>
                <w:lang w:val="en-US" w:eastAsia="zh-CN"/>
              </w:rPr>
            </w:pPr>
            <w:r>
              <w:rPr>
                <w:rFonts w:hint="eastAsia"/>
                <w:sz w:val="24"/>
                <w:szCs w:val="24"/>
              </w:rPr>
              <w:t>7.支持上报/审核学员月度考勤数据。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bidi w:val="0"/>
              <w:jc w:val="center"/>
              <w:rPr>
                <w:rFonts w:hint="default" w:eastAsia="宋体"/>
                <w:sz w:val="24"/>
                <w:szCs w:val="24"/>
                <w:lang w:val="en-US" w:eastAsia="zh-CN"/>
              </w:rPr>
            </w:pPr>
            <w:r>
              <w:rPr>
                <w:rFonts w:hint="eastAsia"/>
                <w:sz w:val="24"/>
                <w:szCs w:val="24"/>
                <w:lang w:val="en-US" w:eastAsia="zh-CN"/>
              </w:rPr>
              <w:t>10</w:t>
            </w:r>
          </w:p>
        </w:tc>
        <w:tc>
          <w:tcPr>
            <w:tcW w:w="1310" w:type="dxa"/>
            <w:vAlign w:val="center"/>
          </w:tcPr>
          <w:p>
            <w:pPr>
              <w:bidi w:val="0"/>
              <w:jc w:val="center"/>
              <w:rPr>
                <w:rFonts w:hint="eastAsia"/>
                <w:sz w:val="24"/>
                <w:szCs w:val="24"/>
              </w:rPr>
            </w:pPr>
            <w:r>
              <w:rPr>
                <w:rFonts w:hint="eastAsia"/>
                <w:sz w:val="24"/>
                <w:szCs w:val="24"/>
              </w:rPr>
              <w:t>师资管理</w:t>
            </w:r>
          </w:p>
          <w:p>
            <w:pPr>
              <w:bidi w:val="0"/>
              <w:jc w:val="center"/>
              <w:rPr>
                <w:rFonts w:hint="eastAsia"/>
                <w:sz w:val="24"/>
                <w:szCs w:val="24"/>
              </w:rPr>
            </w:pPr>
          </w:p>
        </w:tc>
        <w:tc>
          <w:tcPr>
            <w:tcW w:w="7073" w:type="dxa"/>
            <w:shd w:val="clear" w:color="auto" w:fill="auto"/>
            <w:vAlign w:val="center"/>
          </w:tcPr>
          <w:p>
            <w:pPr>
              <w:bidi w:val="0"/>
              <w:jc w:val="left"/>
              <w:rPr>
                <w:rFonts w:hint="eastAsia"/>
                <w:sz w:val="24"/>
                <w:szCs w:val="24"/>
              </w:rPr>
            </w:pPr>
            <w:r>
              <w:rPr>
                <w:rFonts w:hint="eastAsia"/>
                <w:sz w:val="24"/>
                <w:szCs w:val="24"/>
              </w:rPr>
              <w:t>1.基地秘书科对教员提交的师资申请进行初步审核，并支持对在聘中的师资进行解聘申请；</w:t>
            </w:r>
          </w:p>
          <w:p>
            <w:pPr>
              <w:bidi w:val="0"/>
              <w:jc w:val="left"/>
              <w:rPr>
                <w:rFonts w:hint="eastAsia"/>
                <w:sz w:val="24"/>
                <w:szCs w:val="24"/>
              </w:rPr>
            </w:pPr>
            <w:r>
              <w:rPr>
                <w:rFonts w:hint="eastAsia"/>
                <w:sz w:val="24"/>
                <w:szCs w:val="24"/>
              </w:rPr>
              <w:t>2.管理师资信息，查看和管理院内所有师资信息、师聘记录、解聘记录；</w:t>
            </w:r>
          </w:p>
          <w:p>
            <w:pPr>
              <w:bidi w:val="0"/>
              <w:jc w:val="left"/>
              <w:rPr>
                <w:rFonts w:hint="eastAsia"/>
                <w:sz w:val="24"/>
                <w:szCs w:val="24"/>
                <w:lang w:val="en-US" w:eastAsia="zh-CN"/>
              </w:rPr>
            </w:pPr>
            <w:r>
              <w:rPr>
                <w:rFonts w:hint="eastAsia"/>
                <w:sz w:val="24"/>
                <w:szCs w:val="24"/>
              </w:rPr>
              <w:t>3.支持对教员提交的师资申请进行最终审核。支持对基地秘书提交的解聘申请进行审核；支持直接对师资进行解聘操作。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bidi w:val="0"/>
              <w:jc w:val="center"/>
              <w:rPr>
                <w:rFonts w:hint="default" w:eastAsia="宋体"/>
                <w:sz w:val="24"/>
                <w:szCs w:val="24"/>
                <w:lang w:val="en-US" w:eastAsia="zh-CN"/>
              </w:rPr>
            </w:pPr>
            <w:r>
              <w:rPr>
                <w:rFonts w:hint="eastAsia"/>
                <w:sz w:val="24"/>
                <w:szCs w:val="24"/>
                <w:lang w:val="en-US" w:eastAsia="zh-CN"/>
              </w:rPr>
              <w:t>11</w:t>
            </w:r>
          </w:p>
        </w:tc>
        <w:tc>
          <w:tcPr>
            <w:tcW w:w="1310" w:type="dxa"/>
            <w:vAlign w:val="center"/>
          </w:tcPr>
          <w:p>
            <w:pPr>
              <w:bidi w:val="0"/>
              <w:jc w:val="center"/>
              <w:rPr>
                <w:rFonts w:hint="default"/>
                <w:sz w:val="24"/>
                <w:szCs w:val="24"/>
                <w:lang w:val="en-US" w:eastAsia="zh-CN"/>
              </w:rPr>
            </w:pPr>
            <w:r>
              <w:rPr>
                <w:rFonts w:hint="eastAsia"/>
                <w:sz w:val="24"/>
                <w:szCs w:val="24"/>
                <w:lang w:val="en-US" w:eastAsia="zh-CN"/>
              </w:rPr>
              <w:t>结业管理</w:t>
            </w:r>
          </w:p>
        </w:tc>
        <w:tc>
          <w:tcPr>
            <w:tcW w:w="7073" w:type="dxa"/>
            <w:shd w:val="clear" w:color="auto" w:fill="auto"/>
            <w:vAlign w:val="center"/>
          </w:tcPr>
          <w:p>
            <w:pPr>
              <w:bidi w:val="0"/>
              <w:jc w:val="left"/>
              <w:rPr>
                <w:rFonts w:hint="eastAsia"/>
                <w:sz w:val="24"/>
                <w:szCs w:val="24"/>
              </w:rPr>
            </w:pPr>
            <w:r>
              <w:rPr>
                <w:rFonts w:hint="eastAsia"/>
                <w:sz w:val="24"/>
                <w:szCs w:val="24"/>
              </w:rPr>
              <w:t>结业管理</w:t>
            </w:r>
          </w:p>
          <w:p>
            <w:pPr>
              <w:bidi w:val="0"/>
              <w:jc w:val="left"/>
              <w:rPr>
                <w:rFonts w:hint="eastAsia"/>
                <w:sz w:val="24"/>
                <w:szCs w:val="24"/>
              </w:rPr>
            </w:pPr>
            <w:r>
              <w:rPr>
                <w:rFonts w:hint="eastAsia"/>
                <w:sz w:val="24"/>
                <w:szCs w:val="24"/>
              </w:rPr>
              <w:t>1.支持学员发起毕结业申请，登记毕结业日期，就业去向，去向单位等信息。支持查询毕结业申请记录；</w:t>
            </w:r>
          </w:p>
          <w:p>
            <w:pPr>
              <w:bidi w:val="0"/>
              <w:jc w:val="left"/>
              <w:rPr>
                <w:rFonts w:hint="eastAsia"/>
                <w:sz w:val="24"/>
                <w:szCs w:val="24"/>
                <w:lang w:val="en-US" w:eastAsia="zh-CN"/>
              </w:rPr>
            </w:pPr>
            <w:r>
              <w:rPr>
                <w:rFonts w:hint="eastAsia"/>
                <w:sz w:val="24"/>
                <w:szCs w:val="24"/>
              </w:rPr>
              <w:t>2.可查询一个月、三个月、六个月内即将毕业的人员名单，用于科教管理部门提前准备结业相关事宜。</w:t>
            </w:r>
          </w:p>
        </w:tc>
      </w:tr>
    </w:tbl>
    <w:p>
      <w:pPr>
        <w:rPr>
          <w:rFonts w:hint="eastAsia" w:ascii="宋体" w:hAnsi="宋体" w:eastAsia="宋体" w:cs="宋体"/>
        </w:rPr>
      </w:pPr>
      <w:bookmarkStart w:id="4" w:name="_Toc19113858"/>
      <w:bookmarkStart w:id="5" w:name="_Toc98942882"/>
      <w:bookmarkStart w:id="6" w:name="_Toc267320049"/>
      <w:r>
        <w:rPr>
          <w:rFonts w:hint="eastAsia" w:ascii="宋体" w:hAnsi="宋体" w:eastAsia="宋体" w:cs="宋体"/>
        </w:rPr>
        <w:br w:type="page"/>
      </w:r>
    </w:p>
    <w:p>
      <w:pPr>
        <w:pStyle w:val="4"/>
        <w:spacing w:line="360" w:lineRule="auto"/>
        <w:rPr>
          <w:rFonts w:ascii="宋体" w:hAnsi="宋体" w:eastAsia="宋体" w:cs="宋体"/>
          <w:sz w:val="28"/>
          <w:szCs w:val="28"/>
        </w:rPr>
      </w:pPr>
      <w:r>
        <w:rPr>
          <w:rFonts w:hint="eastAsia" w:ascii="宋体" w:hAnsi="宋体" w:eastAsia="宋体" w:cs="宋体"/>
        </w:rPr>
        <w:t>第</w:t>
      </w:r>
      <w:r>
        <w:rPr>
          <w:rFonts w:hint="eastAsia" w:ascii="宋体" w:hAnsi="宋体" w:eastAsia="宋体" w:cs="宋体"/>
          <w:lang w:eastAsia="zh-CN"/>
        </w:rPr>
        <w:t>二</w:t>
      </w:r>
      <w:r>
        <w:rPr>
          <w:rFonts w:hint="eastAsia" w:ascii="宋体" w:hAnsi="宋体" w:eastAsia="宋体" w:cs="宋体"/>
        </w:rPr>
        <w:t>篇 项目商务要求</w:t>
      </w:r>
      <w:bookmarkEnd w:id="4"/>
      <w:bookmarkEnd w:id="5"/>
      <w:bookmarkStart w:id="7" w:name="_Toc505608529"/>
    </w:p>
    <w:bookmarkEnd w:id="6"/>
    <w:bookmarkEnd w:id="7"/>
    <w:p>
      <w:pPr>
        <w:snapToGrid w:val="0"/>
        <w:spacing w:line="360" w:lineRule="auto"/>
        <w:rPr>
          <w:sz w:val="24"/>
        </w:rPr>
      </w:pPr>
    </w:p>
    <w:p>
      <w:pPr>
        <w:pStyle w:val="5"/>
        <w:spacing w:line="360" w:lineRule="auto"/>
      </w:pPr>
      <w:bookmarkStart w:id="8" w:name="_Toc98942883"/>
      <w:r>
        <w:rPr>
          <w:rFonts w:hint="eastAsia"/>
        </w:rPr>
        <w:t>一、交货期、交货地点及验收方式</w:t>
      </w:r>
      <w:bookmarkEnd w:id="8"/>
    </w:p>
    <w:p>
      <w:pPr>
        <w:snapToGrid w:val="0"/>
        <w:spacing w:line="276" w:lineRule="auto"/>
        <w:ind w:firstLine="480" w:firstLineChars="200"/>
        <w:rPr>
          <w:sz w:val="24"/>
        </w:rPr>
      </w:pPr>
      <w:r>
        <w:rPr>
          <w:rFonts w:hint="eastAsia"/>
          <w:sz w:val="24"/>
        </w:rPr>
        <w:t>1.1交货期</w:t>
      </w:r>
    </w:p>
    <w:p>
      <w:pPr>
        <w:snapToGrid w:val="0"/>
        <w:spacing w:line="276" w:lineRule="auto"/>
        <w:ind w:firstLine="480" w:firstLineChars="200"/>
        <w:rPr>
          <w:rFonts w:hint="eastAsia" w:eastAsia="宋体"/>
          <w:sz w:val="24"/>
          <w:lang w:eastAsia="zh-CN"/>
        </w:rPr>
      </w:pPr>
      <w:r>
        <w:rPr>
          <w:rFonts w:hint="eastAsia"/>
          <w:sz w:val="24"/>
        </w:rPr>
        <w:t>中标人应在采购合同签订后</w:t>
      </w:r>
      <w:r>
        <w:rPr>
          <w:rFonts w:hint="eastAsia"/>
          <w:sz w:val="24"/>
          <w:highlight w:val="yellow"/>
          <w:lang w:val="en-US" w:eastAsia="zh-CN"/>
        </w:rPr>
        <w:t>5</w:t>
      </w:r>
      <w:r>
        <w:rPr>
          <w:rFonts w:hint="eastAsia"/>
          <w:sz w:val="24"/>
        </w:rPr>
        <w:t>个日历日内交货并完成安装调试。由于中标人原因</w:t>
      </w:r>
      <w:r>
        <w:rPr>
          <w:rFonts w:hint="eastAsia" w:hAnsi="宋体"/>
          <w:sz w:val="24"/>
          <w:szCs w:val="24"/>
        </w:rPr>
        <w:t>每超过1个日历日赔偿采购人合同总额的千分之五延期费。</w:t>
      </w:r>
    </w:p>
    <w:p>
      <w:pPr>
        <w:snapToGrid w:val="0"/>
        <w:spacing w:line="276" w:lineRule="auto"/>
        <w:ind w:firstLine="480" w:firstLineChars="200"/>
        <w:rPr>
          <w:sz w:val="24"/>
        </w:rPr>
      </w:pPr>
      <w:r>
        <w:rPr>
          <w:rFonts w:hint="eastAsia"/>
          <w:sz w:val="24"/>
        </w:rPr>
        <w:t>1.2交货地点</w:t>
      </w:r>
    </w:p>
    <w:p>
      <w:pPr>
        <w:snapToGrid w:val="0"/>
        <w:spacing w:line="276" w:lineRule="auto"/>
        <w:ind w:firstLine="480" w:firstLineChars="200"/>
        <w:rPr>
          <w:sz w:val="24"/>
        </w:rPr>
      </w:pPr>
      <w:r>
        <w:rPr>
          <w:rFonts w:hint="eastAsia"/>
          <w:sz w:val="24"/>
        </w:rPr>
        <w:t>交货地点：采购人指定地点。</w:t>
      </w:r>
    </w:p>
    <w:p>
      <w:pPr>
        <w:snapToGrid w:val="0"/>
        <w:spacing w:line="276" w:lineRule="auto"/>
        <w:ind w:firstLine="480" w:firstLineChars="200"/>
        <w:rPr>
          <w:sz w:val="24"/>
        </w:rPr>
      </w:pPr>
      <w:r>
        <w:rPr>
          <w:rFonts w:hint="eastAsia"/>
          <w:sz w:val="24"/>
        </w:rPr>
        <w:t>1.3验收方式</w:t>
      </w:r>
    </w:p>
    <w:p>
      <w:pPr>
        <w:snapToGrid w:val="0"/>
        <w:spacing w:line="276" w:lineRule="auto"/>
        <w:ind w:firstLine="480" w:firstLineChars="200"/>
        <w:rPr>
          <w:sz w:val="24"/>
        </w:rPr>
      </w:pPr>
      <w:r>
        <w:rPr>
          <w:rFonts w:hint="eastAsia"/>
          <w:sz w:val="24"/>
        </w:rPr>
        <w:t>1.3.1.货物到达现场后，中标人应在使用单位人员在场情况下当面开箱，共同清点、检查外观，作出开箱记录，双方签字确认。</w:t>
      </w:r>
    </w:p>
    <w:p>
      <w:pPr>
        <w:snapToGrid w:val="0"/>
        <w:spacing w:line="276" w:lineRule="auto"/>
        <w:ind w:firstLine="480" w:firstLineChars="200"/>
        <w:rPr>
          <w:sz w:val="24"/>
        </w:rPr>
      </w:pPr>
      <w:r>
        <w:rPr>
          <w:rFonts w:hint="eastAsia"/>
          <w:sz w:val="24"/>
        </w:rPr>
        <w:t>1.3.2.中标人应保证货物到达采购人所在地完好无损，如有缺漏、损坏，由投标人负责调换、补齐或赔偿。</w:t>
      </w:r>
    </w:p>
    <w:p>
      <w:pPr>
        <w:snapToGrid w:val="0"/>
        <w:spacing w:line="400" w:lineRule="exact"/>
        <w:ind w:firstLine="480" w:firstLineChars="200"/>
        <w:rPr>
          <w:sz w:val="24"/>
        </w:rPr>
      </w:pPr>
      <w:r>
        <w:rPr>
          <w:rFonts w:hint="eastAsia"/>
          <w:sz w:val="24"/>
        </w:rPr>
        <w:t>1.3.3.中标人应提供完备的技术资料、装箱单和合格证等，并派遣专业技术人员进行现场安装调试。</w:t>
      </w:r>
    </w:p>
    <w:p>
      <w:pPr>
        <w:pStyle w:val="5"/>
      </w:pPr>
      <w:bookmarkStart w:id="9" w:name="_Toc505608530"/>
      <w:bookmarkStart w:id="10" w:name="_Toc98942884"/>
      <w:bookmarkStart w:id="11" w:name="_Toc267320050"/>
      <w:r>
        <w:rPr>
          <w:rFonts w:hint="eastAsia"/>
        </w:rPr>
        <w:t>二、报价要求</w:t>
      </w:r>
      <w:bookmarkEnd w:id="9"/>
      <w:bookmarkEnd w:id="10"/>
    </w:p>
    <w:p>
      <w:pPr>
        <w:snapToGrid w:val="0"/>
        <w:spacing w:line="360" w:lineRule="auto"/>
        <w:ind w:firstLine="480" w:firstLineChars="200"/>
        <w:rPr>
          <w:sz w:val="24"/>
        </w:rPr>
      </w:pPr>
      <w:bookmarkStart w:id="12" w:name="_Toc505608531"/>
      <w:r>
        <w:rPr>
          <w:rFonts w:hint="eastAsia"/>
          <w:sz w:val="24"/>
        </w:rPr>
        <w:t>2.1.本次报价须为人民币报价，包含：产品价、运输费（含装卸费）、保险费、安装费、调试费、售后服务费、税费、培训费等货到采购人指定地点的所有费用。</w:t>
      </w:r>
    </w:p>
    <w:p>
      <w:pPr>
        <w:pStyle w:val="5"/>
      </w:pPr>
      <w:bookmarkStart w:id="13" w:name="_Toc98942885"/>
      <w:r>
        <w:rPr>
          <w:rFonts w:hint="eastAsia"/>
        </w:rPr>
        <w:t>三、质量保证及售后服务</w:t>
      </w:r>
      <w:bookmarkEnd w:id="11"/>
      <w:bookmarkEnd w:id="12"/>
      <w:bookmarkEnd w:id="13"/>
    </w:p>
    <w:p>
      <w:pPr>
        <w:snapToGrid w:val="0"/>
        <w:spacing w:line="400" w:lineRule="exact"/>
        <w:ind w:firstLine="482" w:firstLineChars="200"/>
        <w:rPr>
          <w:b/>
          <w:sz w:val="24"/>
        </w:rPr>
      </w:pPr>
      <w:r>
        <w:rPr>
          <w:rFonts w:hint="eastAsia"/>
          <w:b/>
          <w:sz w:val="24"/>
        </w:rPr>
        <w:t>3.1产品质量保证期</w:t>
      </w:r>
    </w:p>
    <w:p>
      <w:pPr>
        <w:snapToGrid w:val="0"/>
        <w:spacing w:line="360" w:lineRule="auto"/>
        <w:ind w:firstLine="480" w:firstLineChars="200"/>
        <w:rPr>
          <w:rFonts w:hAnsi="宋体" w:cs="宋体"/>
          <w:sz w:val="24"/>
          <w:szCs w:val="24"/>
        </w:rPr>
      </w:pPr>
      <w:r>
        <w:rPr>
          <w:rFonts w:hint="eastAsia" w:hAnsi="宋体" w:cs="宋体"/>
          <w:sz w:val="24"/>
          <w:szCs w:val="24"/>
        </w:rPr>
        <w:t>投标人应明确承诺：其投标产品质量保证期</w:t>
      </w:r>
      <w:r>
        <w:rPr>
          <w:rFonts w:hint="eastAsia" w:hAnsi="宋体" w:cs="宋体"/>
          <w:sz w:val="24"/>
          <w:szCs w:val="24"/>
          <w:lang w:eastAsia="zh-CN"/>
        </w:rPr>
        <w:t>达到</w:t>
      </w:r>
      <w:r>
        <w:rPr>
          <w:rFonts w:hint="eastAsia" w:hAnsi="宋体" w:cs="宋体"/>
          <w:sz w:val="24"/>
          <w:szCs w:val="24"/>
          <w:u w:val="single"/>
        </w:rPr>
        <w:t xml:space="preserve">   </w:t>
      </w:r>
      <w:r>
        <w:rPr>
          <w:rFonts w:hint="eastAsia" w:hAnsi="宋体" w:cs="宋体"/>
          <w:sz w:val="24"/>
          <w:szCs w:val="24"/>
          <w:u w:val="single"/>
          <w:lang w:val="en-US" w:eastAsia="zh-CN"/>
        </w:rPr>
        <w:t>两</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lang w:eastAsia="zh-CN"/>
        </w:rPr>
        <w:t>耗材及易损件除外</w:t>
      </w:r>
      <w:r>
        <w:rPr>
          <w:rFonts w:hint="eastAsia" w:hAnsi="宋体" w:cs="宋体"/>
          <w:sz w:val="24"/>
          <w:szCs w:val="24"/>
        </w:rPr>
        <w:t>）。</w:t>
      </w:r>
    </w:p>
    <w:p>
      <w:pPr>
        <w:pStyle w:val="5"/>
      </w:pPr>
      <w:bookmarkStart w:id="14" w:name="_Toc505608532"/>
      <w:bookmarkStart w:id="15" w:name="_Toc267320051"/>
      <w:bookmarkStart w:id="16" w:name="_Toc98942886"/>
      <w:r>
        <w:rPr>
          <w:rFonts w:hint="eastAsia"/>
        </w:rPr>
        <w:t>四、付款方式</w:t>
      </w:r>
      <w:bookmarkEnd w:id="14"/>
      <w:bookmarkEnd w:id="15"/>
      <w:bookmarkEnd w:id="16"/>
    </w:p>
    <w:p>
      <w:pPr>
        <w:snapToGrid w:val="0"/>
        <w:spacing w:line="360" w:lineRule="auto"/>
        <w:ind w:firstLine="480" w:firstLineChars="200"/>
        <w:rPr>
          <w:rFonts w:hint="eastAsia"/>
          <w:sz w:val="24"/>
          <w:lang w:val="en-US" w:eastAsia="zh-CN"/>
        </w:rPr>
      </w:pPr>
      <w:r>
        <w:rPr>
          <w:rFonts w:hint="eastAsia"/>
          <w:sz w:val="24"/>
          <w:lang w:val="en-US" w:eastAsia="zh-CN"/>
        </w:rPr>
        <w:t>1.验收合格后，收到乙方开具合同全额发票后15个工作日内，甲方支付合同金额的95%;</w:t>
      </w:r>
    </w:p>
    <w:p>
      <w:pPr>
        <w:snapToGrid w:val="0"/>
        <w:spacing w:line="360" w:lineRule="auto"/>
        <w:ind w:firstLine="480" w:firstLineChars="200"/>
        <w:rPr>
          <w:rFonts w:hint="eastAsia"/>
          <w:b/>
          <w:color w:val="auto"/>
          <w:sz w:val="28"/>
          <w:szCs w:val="28"/>
          <w:highlight w:val="none"/>
          <w:lang w:eastAsia="zh-CN"/>
        </w:rPr>
      </w:pPr>
      <w:r>
        <w:rPr>
          <w:rFonts w:hint="eastAsia"/>
          <w:sz w:val="24"/>
          <w:lang w:val="en-US" w:eastAsia="zh-CN"/>
        </w:rPr>
        <w:t>2.乙方在质保期满且维保义务妥善履行完毕后，向甲方提交书面付款申请，经甲方确认付款金额后，乙方再次提交确认金额的书面付款申请，甲方自收到该申请书后15个工作日内，支付剩余款项。</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39B54DD"/>
    <w:rsid w:val="194F58BE"/>
    <w:rsid w:val="1ADA426B"/>
    <w:rsid w:val="1B300109"/>
    <w:rsid w:val="249F06E1"/>
    <w:rsid w:val="28EF58CF"/>
    <w:rsid w:val="2CD66037"/>
    <w:rsid w:val="3F9A292E"/>
    <w:rsid w:val="41917959"/>
    <w:rsid w:val="5AF00D60"/>
    <w:rsid w:val="60701C05"/>
    <w:rsid w:val="623E7685"/>
    <w:rsid w:val="64C50CB4"/>
    <w:rsid w:val="710C1EC5"/>
    <w:rsid w:val="74A565C1"/>
    <w:rsid w:val="773E7889"/>
    <w:rsid w:val="77F734C0"/>
    <w:rsid w:val="7B761A97"/>
    <w:rsid w:val="7CC971B4"/>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jc w:val="center"/>
      <w:outlineLvl w:val="0"/>
    </w:pPr>
    <w:rPr>
      <w:rFonts w:ascii="Times New Roman" w:eastAsia="仿宋"/>
      <w:b/>
      <w:bCs/>
      <w:kern w:val="44"/>
      <w:sz w:val="44"/>
      <w:szCs w:val="44"/>
    </w:rPr>
  </w:style>
  <w:style w:type="paragraph" w:styleId="5">
    <w:name w:val="heading 2"/>
    <w:basedOn w:val="1"/>
    <w:next w:val="1"/>
    <w:qFormat/>
    <w:uiPriority w:val="0"/>
    <w:pPr>
      <w:keepNext/>
      <w:keepLines/>
      <w:jc w:val="left"/>
      <w:outlineLvl w:val="1"/>
    </w:pPr>
    <w:rPr>
      <w:rFonts w:ascii="Arial" w:hAnsi="Arial"/>
      <w:bCs/>
      <w:kern w:val="2"/>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3"/>
    <w:next w:val="1"/>
    <w:qFormat/>
    <w:uiPriority w:val="0"/>
    <w:pPr>
      <w:spacing w:line="360" w:lineRule="auto"/>
      <w:ind w:firstLine="480" w:firstLineChars="200"/>
    </w:pPr>
    <w:rPr>
      <w:rFonts w:ascii="宋体" w:hAnsi="宋体" w:cs="宋体"/>
      <w:kern w:val="0"/>
      <w:sz w:val="24"/>
    </w:rPr>
  </w:style>
  <w:style w:type="paragraph" w:customStyle="1" w:styleId="3">
    <w:name w:val="正文 New New New New New New"/>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w:basedOn w:val="1"/>
    <w:link w:val="24"/>
    <w:unhideWhenUsed/>
    <w:qFormat/>
    <w:uiPriority w:val="99"/>
    <w:pPr>
      <w:snapToGrid w:val="0"/>
      <w:spacing w:line="440" w:lineRule="exact"/>
    </w:pPr>
    <w:rPr>
      <w:rFonts w:ascii="Times New Roman" w:hAnsi="Times New Roman" w:eastAsia="宋体" w:cs="Times New Roman"/>
      <w:kern w:val="0"/>
      <w:sz w:val="20"/>
      <w:szCs w:val="20"/>
    </w:rPr>
  </w:style>
  <w:style w:type="paragraph" w:styleId="8">
    <w:name w:val="Body Text Indent"/>
    <w:basedOn w:val="1"/>
    <w:link w:val="20"/>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9">
    <w:name w:val="Plain Text"/>
    <w:basedOn w:val="1"/>
    <w:link w:val="23"/>
    <w:qFormat/>
    <w:uiPriority w:val="0"/>
    <w:rPr>
      <w:rFonts w:ascii="宋体" w:hAnsi="Courier New" w:eastAsia="宋体" w:cs="Times New Roman"/>
      <w:szCs w:val="20"/>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character" w:customStyle="1" w:styleId="17">
    <w:name w:val="页眉 Char"/>
    <w:basedOn w:val="14"/>
    <w:link w:val="11"/>
    <w:semiHidden/>
    <w:qFormat/>
    <w:uiPriority w:val="99"/>
    <w:rPr>
      <w:sz w:val="18"/>
      <w:szCs w:val="18"/>
    </w:rPr>
  </w:style>
  <w:style w:type="character" w:customStyle="1" w:styleId="18">
    <w:name w:val="页脚 Char"/>
    <w:basedOn w:val="14"/>
    <w:link w:val="10"/>
    <w:semiHidden/>
    <w:qFormat/>
    <w:uiPriority w:val="99"/>
    <w:rPr>
      <w:sz w:val="18"/>
      <w:szCs w:val="18"/>
    </w:rPr>
  </w:style>
  <w:style w:type="character" w:customStyle="1" w:styleId="19">
    <w:name w:val="正文文本缩进 Char"/>
    <w:basedOn w:val="14"/>
    <w:link w:val="8"/>
    <w:qFormat/>
    <w:uiPriority w:val="0"/>
    <w:rPr>
      <w:rFonts w:ascii="宋体" w:hAnsi="宋体" w:eastAsia="宋体" w:cs="Times New Roman"/>
      <w:sz w:val="28"/>
      <w:szCs w:val="24"/>
    </w:rPr>
  </w:style>
  <w:style w:type="character" w:customStyle="1" w:styleId="20">
    <w:name w:val="正文文本缩进 Char1"/>
    <w:basedOn w:val="14"/>
    <w:link w:val="8"/>
    <w:semiHidden/>
    <w:qFormat/>
    <w:uiPriority w:val="99"/>
  </w:style>
  <w:style w:type="character" w:customStyle="1" w:styleId="21">
    <w:name w:val="font11"/>
    <w:basedOn w:val="14"/>
    <w:qFormat/>
    <w:uiPriority w:val="0"/>
    <w:rPr>
      <w:rFonts w:hint="eastAsia" w:ascii="宋体" w:hAnsi="宋体" w:eastAsia="宋体" w:cs="宋体"/>
      <w:color w:val="000000"/>
      <w:sz w:val="24"/>
      <w:szCs w:val="24"/>
      <w:u w:val="none"/>
    </w:rPr>
  </w:style>
  <w:style w:type="character" w:customStyle="1" w:styleId="22">
    <w:name w:val="font21"/>
    <w:basedOn w:val="14"/>
    <w:qFormat/>
    <w:uiPriority w:val="0"/>
    <w:rPr>
      <w:rFonts w:hint="eastAsia" w:ascii="宋体" w:hAnsi="宋体" w:eastAsia="宋体" w:cs="宋体"/>
      <w:b/>
      <w:bCs/>
      <w:color w:val="000000"/>
      <w:sz w:val="24"/>
      <w:szCs w:val="24"/>
      <w:u w:val="none"/>
    </w:rPr>
  </w:style>
  <w:style w:type="character" w:customStyle="1" w:styleId="23">
    <w:name w:val="纯文本 Char"/>
    <w:basedOn w:val="14"/>
    <w:link w:val="9"/>
    <w:qFormat/>
    <w:uiPriority w:val="0"/>
    <w:rPr>
      <w:rFonts w:ascii="宋体" w:hAnsi="Courier New" w:eastAsia="宋体" w:cs="Times New Roman"/>
      <w:szCs w:val="20"/>
    </w:rPr>
  </w:style>
  <w:style w:type="character" w:customStyle="1" w:styleId="24">
    <w:name w:val="正文文本 Char"/>
    <w:basedOn w:val="14"/>
    <w:link w:val="7"/>
    <w:qFormat/>
    <w:uiPriority w:val="99"/>
    <w:rPr>
      <w:rFonts w:ascii="Times New Roman" w:hAnsi="Times New Roman" w:eastAsia="宋体" w:cs="Times New Roman"/>
      <w:kern w:val="0"/>
      <w:sz w:val="20"/>
      <w:szCs w:val="20"/>
    </w:rPr>
  </w:style>
  <w:style w:type="character" w:customStyle="1" w:styleId="25">
    <w:name w:val="font41"/>
    <w:basedOn w:val="14"/>
    <w:qFormat/>
    <w:uiPriority w:val="0"/>
    <w:rPr>
      <w:rFonts w:hint="default" w:ascii="Times New Roman" w:hAnsi="Times New Roman" w:cs="Times New Roman"/>
      <w:color w:val="000000"/>
      <w:sz w:val="20"/>
      <w:szCs w:val="20"/>
      <w:u w:val="none"/>
    </w:rPr>
  </w:style>
  <w:style w:type="character" w:customStyle="1" w:styleId="26">
    <w:name w:val="font31"/>
    <w:basedOn w:val="14"/>
    <w:qFormat/>
    <w:uiPriority w:val="0"/>
    <w:rPr>
      <w:rFonts w:hint="eastAsia" w:ascii="宋体" w:hAnsi="宋体" w:eastAsia="宋体" w:cs="宋体"/>
      <w:color w:val="000000"/>
      <w:sz w:val="20"/>
      <w:szCs w:val="20"/>
      <w:u w:val="none"/>
    </w:rPr>
  </w:style>
  <w:style w:type="paragraph" w:styleId="27">
    <w:name w:val="List Paragraph"/>
    <w:basedOn w:val="1"/>
    <w:qFormat/>
    <w:uiPriority w:val="34"/>
    <w:pPr>
      <w:ind w:firstLine="420" w:firstLineChars="200"/>
    </w:pPr>
    <w:rPr>
      <w:rFonts w:ascii="仿宋" w:hAnsi="仿宋" w:eastAsia="仿宋" w:cs="Times New Roman"/>
      <w:szCs w:val="24"/>
    </w:rPr>
  </w:style>
  <w:style w:type="character" w:customStyle="1" w:styleId="28">
    <w:name w:val="fontstyle01"/>
    <w:basedOn w:val="14"/>
    <w:qFormat/>
    <w:uiPriority w:val="0"/>
    <w:rPr>
      <w:rFonts w:hint="eastAsia" w:ascii="宋体" w:hAnsi="宋体" w:eastAsia="宋体"/>
      <w:color w:val="000000"/>
      <w:sz w:val="18"/>
      <w:szCs w:val="18"/>
    </w:rPr>
  </w:style>
  <w:style w:type="character" w:customStyle="1" w:styleId="29">
    <w:name w:val="font71"/>
    <w:basedOn w:val="14"/>
    <w:qFormat/>
    <w:uiPriority w:val="0"/>
    <w:rPr>
      <w:rFonts w:hint="default" w:ascii="Times New Roman" w:hAnsi="Times New Roman" w:cs="Times New Roman"/>
      <w:color w:val="000000"/>
      <w:sz w:val="16"/>
      <w:szCs w:val="16"/>
      <w:u w:val="none"/>
    </w:rPr>
  </w:style>
  <w:style w:type="character" w:customStyle="1" w:styleId="30">
    <w:name w:val="font61"/>
    <w:basedOn w:val="14"/>
    <w:qFormat/>
    <w:uiPriority w:val="0"/>
    <w:rPr>
      <w:rFonts w:hint="eastAsia" w:ascii="宋体" w:hAnsi="宋体" w:eastAsia="宋体" w:cs="宋体"/>
      <w:color w:val="000000"/>
      <w:sz w:val="16"/>
      <w:szCs w:val="16"/>
      <w:u w:val="none"/>
    </w:rPr>
  </w:style>
  <w:style w:type="table" w:customStyle="1" w:styleId="31">
    <w:name w:val="网格型1"/>
    <w:basedOn w:val="1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7</Pages>
  <Words>2374</Words>
  <Characters>2635</Characters>
  <Lines>7</Lines>
  <Paragraphs>2</Paragraphs>
  <TotalTime>4</TotalTime>
  <ScaleCrop>false</ScaleCrop>
  <LinksUpToDate>false</LinksUpToDate>
  <CharactersWithSpaces>2708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2025-02-18T08:35:40Z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CBA79C0E916D4992B81D20324B660E8D_13</vt:lpwstr>
  </property>
</Properties>
</file>