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29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潘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88132293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七氟丙烷气体灭火装置及相关消防设施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10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355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技术参数要求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见附件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pStyle w:val="2"/>
        <w:spacing w:line="360" w:lineRule="auto"/>
        <w:jc w:val="center"/>
        <w:rPr>
          <w:rFonts w:hint="eastAsia" w:ascii="宋体" w:hAnsi="宋体" w:eastAsia="宋体" w:cs="宋体"/>
        </w:rPr>
      </w:pPr>
      <w:bookmarkStart w:id="0" w:name="_Toc19113857"/>
      <w:bookmarkStart w:id="1" w:name="_Toc98942879"/>
      <w:r>
        <w:rPr>
          <w:rFonts w:hint="eastAsia" w:ascii="宋体" w:hAnsi="宋体" w:eastAsia="宋体" w:cs="宋体"/>
        </w:rPr>
        <w:t>第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篇 项目技术</w:t>
      </w:r>
      <w:r>
        <w:rPr>
          <w:rFonts w:hint="eastAsia" w:ascii="宋体" w:hAnsi="宋体" w:eastAsia="宋体" w:cs="宋体"/>
          <w:lang w:val="en-US" w:eastAsia="zh-CN"/>
        </w:rPr>
        <w:t>/服务</w:t>
      </w:r>
      <w:r>
        <w:rPr>
          <w:rFonts w:hint="eastAsia" w:ascii="宋体" w:hAnsi="宋体" w:eastAsia="宋体" w:cs="宋体"/>
        </w:rPr>
        <w:t>要求</w:t>
      </w:r>
      <w:bookmarkEnd w:id="0"/>
      <w:bookmarkEnd w:id="1"/>
    </w:p>
    <w:p>
      <w:pPr>
        <w:pStyle w:val="3"/>
      </w:pPr>
      <w:bookmarkStart w:id="2" w:name="_Toc98942880"/>
      <w:r>
        <w:rPr>
          <w:rFonts w:hint="eastAsia"/>
        </w:rPr>
        <w:t>一、</w:t>
      </w:r>
      <w:r>
        <w:rPr>
          <w:rFonts w:hint="eastAsia"/>
          <w:lang w:eastAsia="zh-CN"/>
        </w:rPr>
        <w:t>采购</w:t>
      </w:r>
      <w:r>
        <w:rPr>
          <w:rFonts w:hint="eastAsia"/>
        </w:rPr>
        <w:t>项目一览表</w:t>
      </w:r>
      <w:bookmarkEnd w:id="2"/>
    </w:p>
    <w:tbl>
      <w:tblPr>
        <w:tblStyle w:val="10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835"/>
        <w:gridCol w:w="1458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b/>
                <w:sz w:val="21"/>
                <w:szCs w:val="21"/>
              </w:rPr>
            </w:pPr>
            <w:bookmarkStart w:id="17" w:name="_GoBack"/>
            <w:r>
              <w:rPr>
                <w:rFonts w:hint="eastAsia" w:ascii="方正仿宋_GBK" w:hAnsi="宋体" w:eastAsia="方正仿宋_GBK"/>
                <w:b/>
                <w:sz w:val="21"/>
                <w:szCs w:val="21"/>
              </w:rPr>
              <w:t>序</w:t>
            </w:r>
            <w:r>
              <w:rPr>
                <w:rFonts w:hint="eastAsia" w:hAnsi="宋体" w:cs="宋体"/>
                <w:b/>
                <w:sz w:val="2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</w:rPr>
              <w:t>名 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</w:rPr>
              <w:t>数量/单位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_GBK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柜式七氟丙烷灭火装置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8套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药剂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968KG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泄压口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3台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火灾声光警报器（编码型）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6只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声光警报器</w:t>
            </w:r>
            <w:r>
              <w:rPr>
                <w:rFonts w:hint="eastAsia" w:ascii="PingFangSC-Regular" w:hAnsi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底座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6只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气体释放警报器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3只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编码型现场紧急启停按钮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6只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气体灭火控制器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3台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点型光电感烟火灾探测器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30个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点型</w:t>
            </w:r>
            <w:r>
              <w:rPr>
                <w:rFonts w:hint="eastAsia" w:ascii="PingFangSC-Regular" w:hAnsi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感温</w:t>
            </w: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火灾探测器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30个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编码通用底座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60个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总线设备编址器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系统调试费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大标宋_GBK" w:hAnsi="方正大标宋_GBK" w:eastAsia="方正大标宋_GBK" w:cs="方正大标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KBJ管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1500米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甲级钢制防火门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6樘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PingFangSC-Regular" w:hAnsi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新</w:t>
            </w: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钢制防火门</w:t>
            </w:r>
            <w:r>
              <w:rPr>
                <w:rFonts w:hint="eastAsia" w:ascii="PingFangSC-Regular" w:hAnsi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安装及旧门拆除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阻燃线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1500米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信号线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1200米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开孔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4个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4KW事故风机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事故风机</w:t>
            </w:r>
            <w:r>
              <w:rPr>
                <w:rFonts w:hint="eastAsia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控制箱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辅材措施管理费</w:t>
            </w:r>
            <w:r>
              <w:rPr>
                <w:rFonts w:hint="eastAsia" w:ascii="PingFangSC-Regular" w:hAnsi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方正仿宋_GBK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方正仿宋_GBK" w:eastAsia="方正仿宋_GBK"/>
                <w:color w:val="auto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PingFangSC-Regular" w:hAnsi="PingFangSC-Regular" w:eastAsia="宋体" w:cs="PingFang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PingFangSC-Regular" w:hAnsi="PingFangSC-Regular" w:cs="PingFang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事故风机用风管风阀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以现场查勘为准</w:t>
            </w:r>
          </w:p>
        </w:tc>
      </w:tr>
      <w:bookmarkEnd w:id="17"/>
    </w:tbl>
    <w:p>
      <w:pPr>
        <w:rPr>
          <w:color w:val="0070C0"/>
        </w:rPr>
      </w:pPr>
    </w:p>
    <w:p>
      <w:pPr>
        <w:pStyle w:val="3"/>
      </w:pPr>
      <w:bookmarkStart w:id="3" w:name="_Toc98942881"/>
      <w:r>
        <w:rPr>
          <w:rFonts w:hint="eastAsia"/>
        </w:rPr>
        <w:t>二、</w:t>
      </w:r>
      <w:r>
        <w:rPr>
          <w:rFonts w:hint="eastAsia"/>
          <w:lang w:eastAsia="zh-CN"/>
        </w:rPr>
        <w:t>采购</w:t>
      </w:r>
      <w:r>
        <w:rPr>
          <w:rFonts w:hint="eastAsia"/>
        </w:rPr>
        <w:t>项目技术</w:t>
      </w:r>
      <w:r>
        <w:rPr>
          <w:rFonts w:hint="eastAsia"/>
          <w:lang w:val="en-US" w:eastAsia="zh-CN"/>
        </w:rPr>
        <w:t>/服务</w:t>
      </w:r>
      <w:r>
        <w:rPr>
          <w:rFonts w:hint="eastAsia"/>
        </w:rPr>
        <w:t>要求</w:t>
      </w:r>
      <w:bookmarkEnd w:id="3"/>
    </w:p>
    <w:tbl>
      <w:tblPr>
        <w:tblStyle w:val="10"/>
        <w:tblpPr w:leftFromText="180" w:rightFromText="180" w:vertAnchor="text" w:horzAnchor="margin" w:tblpXSpec="center" w:tblpY="225"/>
        <w:tblOverlap w:val="never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7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7891" w:type="dxa"/>
            <w:vAlign w:val="center"/>
          </w:tcPr>
          <w:p>
            <w:pPr>
              <w:jc w:val="left"/>
              <w:rPr>
                <w:rFonts w:hint="eastAsia"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甲方负责聘请有相关消防资质的单位来验收。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7891" w:type="dxa"/>
            <w:vAlign w:val="center"/>
          </w:tcPr>
          <w:p>
            <w:pPr>
              <w:jc w:val="left"/>
              <w:rPr>
                <w:rFonts w:hint="eastAsia"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新增消防设施设备需满足现有消防规范</w:t>
            </w:r>
            <w:r>
              <w:rPr>
                <w:rFonts w:hint="eastAsia"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其中的反馈</w:t>
            </w: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至消防控制中心</w:t>
            </w:r>
            <w:r>
              <w:rPr>
                <w:rFonts w:hint="eastAsia"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信号至少包括以下信号：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2.1</w:t>
            </w:r>
          </w:p>
        </w:tc>
        <w:tc>
          <w:tcPr>
            <w:tcW w:w="7891" w:type="dxa"/>
            <w:vAlign w:val="center"/>
          </w:tcPr>
          <w:p>
            <w:pPr>
              <w:jc w:val="left"/>
              <w:rPr>
                <w:rFonts w:hint="eastAsia"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气体灭火系统启动信号。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2.2</w:t>
            </w:r>
          </w:p>
        </w:tc>
        <w:tc>
          <w:tcPr>
            <w:tcW w:w="7891" w:type="dxa"/>
            <w:vAlign w:val="center"/>
          </w:tcPr>
          <w:p>
            <w:pPr>
              <w:jc w:val="left"/>
              <w:rPr>
                <w:rFonts w:hint="eastAsia"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气体灭火系统直接连接的火灾探测器的报警信号。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2.3</w:t>
            </w:r>
          </w:p>
        </w:tc>
        <w:tc>
          <w:tcPr>
            <w:tcW w:w="7891" w:type="dxa"/>
            <w:vAlign w:val="center"/>
          </w:tcPr>
          <w:p>
            <w:pPr>
              <w:jc w:val="left"/>
              <w:rPr>
                <w:rFonts w:hint="eastAsia"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气体灭火系统的故障信号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2.4</w:t>
            </w:r>
          </w:p>
        </w:tc>
        <w:tc>
          <w:tcPr>
            <w:tcW w:w="7891" w:type="dxa"/>
            <w:vAlign w:val="center"/>
          </w:tcPr>
          <w:p>
            <w:pPr>
              <w:jc w:val="left"/>
              <w:rPr>
                <w:rFonts w:hint="eastAsia"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压力开关动作信号。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7891" w:type="dxa"/>
            <w:vAlign w:val="center"/>
          </w:tcPr>
          <w:p>
            <w:pPr>
              <w:jc w:val="left"/>
              <w:rPr>
                <w:rFonts w:hint="eastAsia"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PingFangSC-Regular" w:hAnsi="PingFangSC-Regular" w:eastAsia="PingFangSC-Regular" w:cs="PingFangSC-Regular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投标人提供气瓶厂家的“特殊瓶体生产资质”复印件，以及气瓶检测报告、合格证、复印件。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789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投标人提供至少2名售后人员近1年重庆地区社保缴纳记录。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789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施工过程中所需人工、辅材等包含且不限于参数及配置所列内容，包含控制器</w:t>
            </w:r>
            <w:r>
              <w:rPr>
                <w:rFonts w:hint="default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、风机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电源接入等。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7891" w:type="dxa"/>
            <w:vAlign w:val="center"/>
          </w:tcPr>
          <w:p>
            <w:pPr>
              <w:jc w:val="left"/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新装设备</w:t>
            </w:r>
            <w:r>
              <w:rPr>
                <w:rFonts w:ascii="PingFangSC-Regular" w:hAnsi="PingFangSC-Regular" w:eastAsia="PingFangSC-Regular" w:cs="PingFang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有效兼容冉家坝院区</w:t>
            </w: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消防控制室</w:t>
            </w:r>
            <w:r>
              <w:rPr>
                <w:rFonts w:ascii="PingFangSC-Regular" w:hAnsi="PingFangSC-Regular" w:eastAsia="PingFangSC-Regular" w:cs="PingFang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现有系统并保证信号稳定</w:t>
            </w: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7</w:t>
            </w:r>
          </w:p>
        </w:tc>
        <w:tc>
          <w:tcPr>
            <w:tcW w:w="7891" w:type="dxa"/>
            <w:vAlign w:val="center"/>
          </w:tcPr>
          <w:p>
            <w:pPr>
              <w:jc w:val="left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地下室部分要求都有事故风机换风功能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8</w:t>
            </w:r>
          </w:p>
        </w:tc>
        <w:tc>
          <w:tcPr>
            <w:tcW w:w="7891" w:type="dxa"/>
            <w:vAlign w:val="center"/>
          </w:tcPr>
          <w:p>
            <w:pPr>
              <w:jc w:val="left"/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PingFangSC-Regular" w:hAnsi="PingFangSC-Regular" w:eastAsia="PingFangSC-Regular" w:cs="PingFang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本项目为交钥匙工程，请投标人现场查看，项目中不增加任何费用</w:t>
            </w:r>
          </w:p>
        </w:tc>
      </w:tr>
    </w:tbl>
    <w:p>
      <w:pPr>
        <w:rPr>
          <w:rFonts w:hint="eastAsia" w:ascii="宋体" w:hAnsi="宋体" w:eastAsia="宋体" w:cs="宋体"/>
        </w:rPr>
      </w:pPr>
      <w:bookmarkStart w:id="4" w:name="_Toc98942882"/>
      <w:bookmarkStart w:id="5" w:name="_Toc19113858"/>
      <w:bookmarkStart w:id="6" w:name="_Toc267320049"/>
      <w:r>
        <w:rPr>
          <w:rFonts w:hint="eastAsia" w:ascii="宋体" w:hAnsi="宋体" w:eastAsia="宋体" w:cs="宋体"/>
        </w:rPr>
        <w:br w:type="page"/>
      </w:r>
    </w:p>
    <w:p>
      <w:pPr>
        <w:pStyle w:val="2"/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</w:rPr>
        <w:t>第</w:t>
      </w:r>
      <w:r>
        <w:rPr>
          <w:rFonts w:hint="eastAsia" w:ascii="宋体" w:hAnsi="宋体" w:eastAsia="宋体" w:cs="宋体"/>
          <w:lang w:eastAsia="zh-CN"/>
        </w:rPr>
        <w:t>二</w:t>
      </w:r>
      <w:r>
        <w:rPr>
          <w:rFonts w:hint="eastAsia" w:ascii="宋体" w:hAnsi="宋体" w:eastAsia="宋体" w:cs="宋体"/>
        </w:rPr>
        <w:t>篇 项目商务要求</w:t>
      </w:r>
      <w:bookmarkEnd w:id="4"/>
      <w:bookmarkEnd w:id="5"/>
      <w:bookmarkStart w:id="7" w:name="_Toc505608529"/>
    </w:p>
    <w:bookmarkEnd w:id="6"/>
    <w:bookmarkEnd w:id="7"/>
    <w:p>
      <w:pPr>
        <w:pStyle w:val="3"/>
        <w:spacing w:line="360" w:lineRule="auto"/>
      </w:pPr>
      <w:bookmarkStart w:id="8" w:name="_Toc98942883"/>
      <w:r>
        <w:rPr>
          <w:rFonts w:hint="eastAsia"/>
        </w:rPr>
        <w:t>一、交货期、交货地点及验收方式</w:t>
      </w:r>
      <w:bookmarkEnd w:id="8"/>
    </w:p>
    <w:p>
      <w:pPr>
        <w:snapToGrid w:val="0"/>
        <w:spacing w:line="276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1.1交货期</w:t>
      </w:r>
    </w:p>
    <w:p>
      <w:pPr>
        <w:snapToGrid w:val="0"/>
        <w:spacing w:line="276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中标人应在采购合同签订后</w:t>
      </w:r>
      <w:r>
        <w:rPr>
          <w:rFonts w:hint="eastAsia"/>
          <w:color w:val="auto"/>
          <w:sz w:val="24"/>
          <w:highlight w:val="none"/>
          <w:lang w:val="en-US" w:eastAsia="zh-CN"/>
        </w:rPr>
        <w:t>30</w:t>
      </w:r>
      <w:r>
        <w:rPr>
          <w:rFonts w:hint="eastAsia"/>
          <w:sz w:val="24"/>
        </w:rPr>
        <w:t>个日历日内交货并完成安装调试。由于中标人原因</w:t>
      </w:r>
      <w:r>
        <w:rPr>
          <w:rFonts w:hint="eastAsia" w:hAnsi="宋体"/>
          <w:sz w:val="24"/>
          <w:szCs w:val="24"/>
        </w:rPr>
        <w:t>每超过1个日历日赔偿采购人合同总额的千分之五延期费。</w:t>
      </w:r>
    </w:p>
    <w:p>
      <w:pPr>
        <w:snapToGrid w:val="0"/>
        <w:spacing w:line="276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1.2交货地点</w:t>
      </w:r>
    </w:p>
    <w:p>
      <w:pPr>
        <w:snapToGrid w:val="0"/>
        <w:spacing w:line="276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交货地点：采购人指定地点。</w:t>
      </w:r>
    </w:p>
    <w:p>
      <w:pPr>
        <w:snapToGrid w:val="0"/>
        <w:spacing w:line="276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1.3验收方式</w:t>
      </w:r>
    </w:p>
    <w:p>
      <w:pPr>
        <w:snapToGrid w:val="0"/>
        <w:spacing w:line="276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1.3.1.货物到达现场后，中标人应在使用单位人员在场情况下当面开箱，共同清点、检查外观，作出开箱记录，双方签字确认。</w:t>
      </w:r>
    </w:p>
    <w:p>
      <w:pPr>
        <w:snapToGrid w:val="0"/>
        <w:spacing w:line="276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1.3.2.中标人应保证货物到达采购人所在地完好无损，如有缺漏、损坏，由投标人负责调换、补齐或赔偿。</w:t>
      </w:r>
    </w:p>
    <w:p>
      <w:pPr>
        <w:snapToGrid w:val="0"/>
        <w:spacing w:line="276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1.3.3.中标人应提供完备的技术资料、装箱单和合格证等，并派遣专业技术人员进行现场安装调试。验收合格条件如下：</w:t>
      </w:r>
    </w:p>
    <w:p>
      <w:pPr>
        <w:snapToGrid w:val="0"/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1.3.3.1设备技术参数与采购合同一致，性能指标达到规定的标准。</w:t>
      </w:r>
    </w:p>
    <w:p>
      <w:pPr>
        <w:snapToGrid w:val="0"/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1.3.3.2货物技术资料、装箱单、合格证等资料齐全。</w:t>
      </w:r>
    </w:p>
    <w:p>
      <w:pPr>
        <w:snapToGrid w:val="0"/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1.3.3.3在系统试运行期间所出现的问题得到解决，并运行正常。</w:t>
      </w:r>
    </w:p>
    <w:p>
      <w:pPr>
        <w:snapToGrid w:val="0"/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1.3.3.4在规定时间内完成交货并验收，并经采购人确认。</w:t>
      </w:r>
    </w:p>
    <w:p>
      <w:pPr>
        <w:snapToGrid w:val="0"/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1.4.产品在安装调试并试运行符合要求后，才作为最终验收。</w:t>
      </w:r>
    </w:p>
    <w:p>
      <w:pPr>
        <w:snapToGrid w:val="0"/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1.5.投标人提供的货物未达到</w:t>
      </w:r>
      <w:r>
        <w:rPr>
          <w:rFonts w:hint="eastAsia"/>
          <w:sz w:val="24"/>
          <w:lang w:eastAsia="zh-CN"/>
        </w:rPr>
        <w:t>竞争性比选文件</w:t>
      </w:r>
      <w:r>
        <w:rPr>
          <w:rFonts w:hint="eastAsia"/>
          <w:sz w:val="24"/>
        </w:rPr>
        <w:t>规定要求，且对采购人造成损失的，由投标人承担一切责任，并赔偿所造成的损失。</w:t>
      </w:r>
    </w:p>
    <w:p>
      <w:pPr>
        <w:snapToGrid w:val="0"/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1.6.采购人需要制造商对中标人交付的产品（包括质量、技术参数等）进行确认的，制造商应予以配合，并出具书面意见。</w:t>
      </w:r>
    </w:p>
    <w:p>
      <w:pPr>
        <w:snapToGrid w:val="0"/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1.7.产品包装材料由投标方自行处置。</w:t>
      </w:r>
    </w:p>
    <w:p>
      <w:pPr>
        <w:pStyle w:val="3"/>
      </w:pPr>
      <w:bookmarkStart w:id="9" w:name="_Toc98942884"/>
      <w:bookmarkStart w:id="10" w:name="_Toc505608530"/>
      <w:bookmarkStart w:id="11" w:name="_Toc267320050"/>
      <w:r>
        <w:rPr>
          <w:rFonts w:hint="eastAsia"/>
        </w:rPr>
        <w:t>二、报价要求</w:t>
      </w:r>
      <w:bookmarkEnd w:id="9"/>
      <w:bookmarkEnd w:id="10"/>
    </w:p>
    <w:p>
      <w:pPr>
        <w:snapToGrid w:val="0"/>
        <w:spacing w:line="360" w:lineRule="auto"/>
        <w:ind w:firstLine="480" w:firstLineChars="200"/>
        <w:rPr>
          <w:sz w:val="24"/>
        </w:rPr>
      </w:pPr>
      <w:bookmarkStart w:id="12" w:name="_Toc505608531"/>
      <w:r>
        <w:rPr>
          <w:rFonts w:hint="eastAsia"/>
          <w:sz w:val="24"/>
        </w:rPr>
        <w:t>2.1.本次报价须为人民币报价，包含：产品价、运输费（含装卸费）、保险费、安装费、调试费、售后服务费、税费、培训费等货到采购人指定地点的所有费用。</w:t>
      </w:r>
    </w:p>
    <w:p>
      <w:pPr>
        <w:pStyle w:val="3"/>
      </w:pPr>
      <w:bookmarkStart w:id="13" w:name="_Toc98942885"/>
      <w:r>
        <w:rPr>
          <w:rFonts w:hint="eastAsia"/>
        </w:rPr>
        <w:t>三、质量保证及售后服务</w:t>
      </w:r>
      <w:bookmarkEnd w:id="11"/>
      <w:bookmarkEnd w:id="12"/>
      <w:bookmarkEnd w:id="13"/>
    </w:p>
    <w:p>
      <w:pPr>
        <w:snapToGrid w:val="0"/>
        <w:spacing w:line="400" w:lineRule="exact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3.1产品质量保证期</w:t>
      </w:r>
    </w:p>
    <w:p>
      <w:pPr>
        <w:snapToGrid w:val="0"/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/>
          <w:sz w:val="24"/>
        </w:rPr>
        <w:t>3.1.</w:t>
      </w:r>
      <w:r>
        <w:rPr>
          <w:rFonts w:hint="eastAsia" w:hAnsi="宋体" w:cs="宋体"/>
          <w:sz w:val="24"/>
          <w:szCs w:val="24"/>
        </w:rPr>
        <w:t>1.投标人应明确承诺：其投标产品质量保证期</w:t>
      </w:r>
      <w:r>
        <w:rPr>
          <w:rFonts w:hint="eastAsia" w:hAnsi="宋体" w:cs="宋体"/>
          <w:sz w:val="24"/>
          <w:szCs w:val="24"/>
          <w:lang w:eastAsia="zh-CN"/>
        </w:rPr>
        <w:t>达到</w:t>
      </w:r>
      <w:r>
        <w:rPr>
          <w:rFonts w:hint="eastAsia" w:hAnsi="宋体" w:cs="宋体"/>
          <w:sz w:val="24"/>
          <w:szCs w:val="24"/>
          <w:u w:val="single"/>
        </w:rPr>
        <w:t xml:space="preserve">   </w:t>
      </w:r>
      <w:r>
        <w:rPr>
          <w:rFonts w:hint="eastAsia" w:hAnsi="宋体" w:cs="宋体"/>
          <w:color w:val="auto"/>
          <w:sz w:val="24"/>
          <w:szCs w:val="24"/>
          <w:highlight w:val="none"/>
          <w:u w:val="single"/>
        </w:rPr>
        <w:t xml:space="preserve">三 </w:t>
      </w:r>
      <w:r>
        <w:rPr>
          <w:rFonts w:hint="eastAsia" w:hAnsi="宋体" w:cs="宋体"/>
          <w:sz w:val="24"/>
          <w:szCs w:val="24"/>
          <w:u w:val="single"/>
        </w:rPr>
        <w:t xml:space="preserve"> </w:t>
      </w:r>
      <w:r>
        <w:rPr>
          <w:rFonts w:hint="eastAsia" w:hAnsi="宋体" w:cs="宋体"/>
          <w:sz w:val="24"/>
          <w:szCs w:val="24"/>
        </w:rPr>
        <w:t>年（</w:t>
      </w:r>
      <w:r>
        <w:rPr>
          <w:rFonts w:hint="eastAsia" w:hAnsi="宋体" w:cs="宋体"/>
          <w:sz w:val="24"/>
          <w:szCs w:val="24"/>
          <w:lang w:eastAsia="zh-CN"/>
        </w:rPr>
        <w:t>耗材及易损件除外</w:t>
      </w:r>
      <w:r>
        <w:rPr>
          <w:rFonts w:hint="eastAsia" w:hAnsi="宋体" w:cs="宋体"/>
          <w:sz w:val="24"/>
          <w:szCs w:val="24"/>
        </w:rPr>
        <w:t>）。</w:t>
      </w:r>
    </w:p>
    <w:p>
      <w:pPr>
        <w:snapToGrid w:val="0"/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/>
          <w:sz w:val="24"/>
        </w:rPr>
        <w:t>3.1.</w:t>
      </w:r>
      <w:r>
        <w:rPr>
          <w:rFonts w:hint="eastAsia" w:hAnsi="宋体" w:cs="宋体"/>
          <w:sz w:val="24"/>
          <w:szCs w:val="24"/>
        </w:rPr>
        <w:t>2.投标产品属于国家规定“三包”范围的，其产品质量保证期不得低于“三包”规定。</w:t>
      </w:r>
    </w:p>
    <w:p>
      <w:pPr>
        <w:snapToGrid w:val="0"/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/>
          <w:sz w:val="24"/>
        </w:rPr>
        <w:t>3.1.</w:t>
      </w:r>
      <w:r>
        <w:rPr>
          <w:rFonts w:hint="eastAsia" w:hAnsi="宋体" w:cs="宋体"/>
          <w:sz w:val="24"/>
          <w:szCs w:val="24"/>
        </w:rPr>
        <w:t>3.投标人的质量保证期承诺优于国家“三包”规定的，按投标人实际承诺执行。</w:t>
      </w:r>
    </w:p>
    <w:p>
      <w:pPr>
        <w:snapToGrid w:val="0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/>
          <w:sz w:val="24"/>
        </w:rPr>
        <w:t>3.1.</w:t>
      </w:r>
      <w:r>
        <w:rPr>
          <w:rFonts w:hint="eastAsia" w:hAnsi="宋体" w:cs="宋体"/>
          <w:sz w:val="24"/>
          <w:szCs w:val="24"/>
        </w:rPr>
        <w:t>4.投标产品由制造商（指产品生产制造商，或其负责销售、售后服务机构，以下同）负责标准售后服务的，应当在</w:t>
      </w:r>
      <w:r>
        <w:rPr>
          <w:rFonts w:hint="eastAsia" w:hAnsi="宋体" w:cs="宋体"/>
          <w:sz w:val="24"/>
          <w:szCs w:val="24"/>
          <w:lang w:eastAsia="zh-CN"/>
        </w:rPr>
        <w:t>响应文件</w:t>
      </w:r>
      <w:r>
        <w:rPr>
          <w:rFonts w:hint="eastAsia" w:hAnsi="宋体" w:cs="宋体"/>
          <w:sz w:val="24"/>
          <w:szCs w:val="24"/>
        </w:rPr>
        <w:t>中予以明确说明,并附制造商售后服务承诺。</w:t>
      </w:r>
    </w:p>
    <w:p>
      <w:pPr>
        <w:snapToGrid w:val="0"/>
        <w:spacing w:line="360" w:lineRule="auto"/>
        <w:ind w:firstLine="480" w:firstLineChars="200"/>
        <w:rPr>
          <w:rFonts w:hint="default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3.1.5.投标人提供的商品必须是原装封装的全新出厂产品，完全符合国家有关技术标准、医疗卫生行业标准、产品质量标准。</w:t>
      </w:r>
    </w:p>
    <w:p>
      <w:pPr>
        <w:pStyle w:val="3"/>
      </w:pPr>
      <w:bookmarkStart w:id="14" w:name="_Toc505608532"/>
      <w:bookmarkStart w:id="15" w:name="_Toc98942886"/>
      <w:bookmarkStart w:id="16" w:name="_Toc267320051"/>
      <w:r>
        <w:rPr>
          <w:rFonts w:hint="eastAsia"/>
        </w:rPr>
        <w:t>四、付款方式</w:t>
      </w:r>
      <w:bookmarkEnd w:id="14"/>
      <w:bookmarkEnd w:id="15"/>
      <w:bookmarkEnd w:id="16"/>
    </w:p>
    <w:p>
      <w:pPr>
        <w:numPr>
          <w:ilvl w:val="255"/>
          <w:numId w:val="0"/>
        </w:numPr>
        <w:autoSpaceDE w:val="0"/>
        <w:autoSpaceDN w:val="0"/>
        <w:adjustRightInd w:val="0"/>
        <w:snapToGrid w:val="0"/>
        <w:spacing w:line="3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lang w:eastAsia="zh-CN"/>
        </w:rPr>
        <w:t>整体最终验收合格后，</w:t>
      </w:r>
      <w:r>
        <w:rPr>
          <w:rFonts w:hint="eastAsia" w:ascii="宋体" w:hAnsi="宋体" w:cs="宋体"/>
          <w:sz w:val="24"/>
          <w:szCs w:val="24"/>
        </w:rPr>
        <w:t>收到乙方开具合同全额发票后15个工作日内，甲方支付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合同金额的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95</w:t>
      </w:r>
      <w:r>
        <w:rPr>
          <w:rFonts w:hint="default" w:ascii="宋体" w:hAnsi="宋体" w:cs="宋体"/>
          <w:sz w:val="24"/>
          <w:szCs w:val="24"/>
          <w:lang w:eastAsia="zh-Hans"/>
        </w:rPr>
        <w:t>%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ind w:firstLine="480" w:firstLineChars="200"/>
        <w:rPr>
          <w:rFonts w:hint="eastAsia"/>
          <w:lang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乙方在质保期满且维保义务妥善履行完毕后，向甲方提交书面付款申请，经甲方确认付款金额后，乙方再次提交确认金额的书面付款申请，甲方自收到该申请书后</w:t>
      </w:r>
      <w:r>
        <w:rPr>
          <w:rFonts w:hint="default" w:ascii="宋体" w:hAnsi="宋体" w:cs="宋体"/>
          <w:sz w:val="24"/>
          <w:szCs w:val="24"/>
          <w:lang w:eastAsia="zh-Hans"/>
        </w:rPr>
        <w:t>15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个工作日内，支付剩余款项。</w:t>
      </w: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ingFangSC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d0bef9b3-e57e-47c3-b14c-39c2c43f5fa8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2E51C21"/>
    <w:rsid w:val="038D12A9"/>
    <w:rsid w:val="03C216AE"/>
    <w:rsid w:val="0A38044E"/>
    <w:rsid w:val="105765E1"/>
    <w:rsid w:val="11E46932"/>
    <w:rsid w:val="15962639"/>
    <w:rsid w:val="18990280"/>
    <w:rsid w:val="193D5BCE"/>
    <w:rsid w:val="194F58BE"/>
    <w:rsid w:val="1A1A72A1"/>
    <w:rsid w:val="1B300109"/>
    <w:rsid w:val="1EE15908"/>
    <w:rsid w:val="27BB7BC4"/>
    <w:rsid w:val="2F1C1962"/>
    <w:rsid w:val="2FB64456"/>
    <w:rsid w:val="33020198"/>
    <w:rsid w:val="375C6DE7"/>
    <w:rsid w:val="38635F53"/>
    <w:rsid w:val="43BD084E"/>
    <w:rsid w:val="4B300B57"/>
    <w:rsid w:val="58C036EF"/>
    <w:rsid w:val="5AD00FA7"/>
    <w:rsid w:val="60701C05"/>
    <w:rsid w:val="64C50CB4"/>
    <w:rsid w:val="64C51278"/>
    <w:rsid w:val="6ABE0C43"/>
    <w:rsid w:val="6D4713C4"/>
    <w:rsid w:val="6FEA072C"/>
    <w:rsid w:val="710C1EC5"/>
    <w:rsid w:val="74A565C1"/>
    <w:rsid w:val="770C0F88"/>
    <w:rsid w:val="773E7889"/>
    <w:rsid w:val="77F734C0"/>
    <w:rsid w:val="7B761A97"/>
    <w:rsid w:val="7C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0"/>
      </w:numPr>
      <w:spacing w:line="360" w:lineRule="auto"/>
      <w:outlineLvl w:val="0"/>
    </w:pPr>
    <w:rPr>
      <w:rFonts w:ascii="宋体" w:hAnsi="宋体" w:cs="Times New Roman"/>
      <w:color w:val="000000"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jc w:val="left"/>
      <w:outlineLvl w:val="1"/>
    </w:pPr>
    <w:rPr>
      <w:rFonts w:ascii="Arial" w:hAnsi="Arial"/>
      <w:bCs/>
      <w:kern w:val="2"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"/>
    <w:basedOn w:val="1"/>
    <w:link w:val="22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6">
    <w:name w:val="Body Text Indent"/>
    <w:basedOn w:val="1"/>
    <w:link w:val="18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7">
    <w:name w:val="Plain Text"/>
    <w:basedOn w:val="1"/>
    <w:link w:val="21"/>
    <w:qFormat/>
    <w:uiPriority w:val="0"/>
    <w:rPr>
      <w:rFonts w:ascii="宋体" w:hAnsi="Courier New" w:eastAsia="宋体" w:cs="Times New Roman"/>
      <w:szCs w:val="20"/>
    </w:r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正文文本缩进 Char"/>
    <w:basedOn w:val="12"/>
    <w:link w:val="6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8">
    <w:name w:val="正文文本缩进 Char1"/>
    <w:basedOn w:val="12"/>
    <w:link w:val="6"/>
    <w:semiHidden/>
    <w:qFormat/>
    <w:uiPriority w:val="99"/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1">
    <w:name w:val="纯文本 Char"/>
    <w:basedOn w:val="12"/>
    <w:link w:val="7"/>
    <w:qFormat/>
    <w:uiPriority w:val="0"/>
    <w:rPr>
      <w:rFonts w:ascii="宋体" w:hAnsi="Courier New" w:eastAsia="宋体" w:cs="Times New Roman"/>
      <w:szCs w:val="20"/>
    </w:rPr>
  </w:style>
  <w:style w:type="character" w:customStyle="1" w:styleId="22">
    <w:name w:val="正文文本 Char"/>
    <w:basedOn w:val="12"/>
    <w:link w:val="5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3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6">
    <w:name w:val="fontstyle01"/>
    <w:basedOn w:val="12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7">
    <w:name w:val="font71"/>
    <w:basedOn w:val="12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8">
    <w:name w:val="font61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9">
    <w:name w:val="font81"/>
    <w:basedOn w:val="12"/>
    <w:qFormat/>
    <w:uiPriority w:val="0"/>
    <w:rPr>
      <w:rFonts w:ascii="sans-serif" w:hAnsi="sans-serif" w:eastAsia="sans-serif" w:cs="sans-serif"/>
      <w:color w:val="000000"/>
      <w:sz w:val="22"/>
      <w:szCs w:val="22"/>
      <w:u w:val="none"/>
    </w:rPr>
  </w:style>
  <w:style w:type="character" w:customStyle="1" w:styleId="30">
    <w:name w:val="font91"/>
    <w:basedOn w:val="12"/>
    <w:qFormat/>
    <w:uiPriority w:val="0"/>
    <w:rPr>
      <w:rFonts w:hint="default" w:ascii="sans-serif" w:hAnsi="sans-serif" w:eastAsia="sans-serif" w:cs="sans-serif"/>
      <w:color w:val="000000"/>
      <w:sz w:val="22"/>
      <w:szCs w:val="22"/>
      <w:u w:val="none"/>
    </w:rPr>
  </w:style>
  <w:style w:type="character" w:customStyle="1" w:styleId="31">
    <w:name w:val="font1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1974</Words>
  <Characters>2174</Characters>
  <Lines>7</Lines>
  <Paragraphs>2</Paragraphs>
  <TotalTime>8</TotalTime>
  <ScaleCrop>false</ScaleCrop>
  <LinksUpToDate>false</LinksUpToDate>
  <CharactersWithSpaces>2233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2024-10-22T03:30:30Z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1DB84CB16B504A8DA73D8C9949382603_13</vt:lpwstr>
  </property>
</Properties>
</file>