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17</w:t>
      </w:r>
      <w:bookmarkStart w:id="0" w:name="_GoBack"/>
      <w:bookmarkEnd w:id="0"/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伍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88602358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rFonts w:hint="default"/>
          <w:b/>
          <w:color w:val="FF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光刻机、高真空电子束蒸发镀膜机采购清单</w:t>
      </w:r>
    </w:p>
    <w:tbl>
      <w:tblPr>
        <w:tblStyle w:val="9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4354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品名（规格）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光刻机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5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高真空电子束蒸发镀膜机</w:t>
            </w:r>
          </w:p>
        </w:tc>
        <w:tc>
          <w:tcPr>
            <w:tcW w:w="268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</w:tbl>
    <w:p>
      <w:pPr>
        <w:jc w:val="left"/>
        <w:rPr>
          <w:rFonts w:hint="eastAsia"/>
          <w:b/>
          <w:color w:val="FF0000"/>
          <w:sz w:val="28"/>
          <w:szCs w:val="28"/>
          <w:lang w:eastAsia="zh-CN"/>
        </w:rPr>
      </w:pPr>
    </w:p>
    <w:p>
      <w:pPr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  <w:br w:type="page"/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  <w:t xml:space="preserve">设备一  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1套光刻机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进口设备报价不含增值税和关税。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1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48" w:type="pct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1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8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曝光面积≧110mm×110mm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1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48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曝光波长：365nm：40mW/cm2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1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48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分辨力≦0.8um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1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48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对准采用双视场对准显微镜：通过CCD+显示器对准，光学合像，光学+电子放大400倍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1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48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显微镜扫描范围：X：±50mm，Y：±20mm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1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48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对准精度≦±0.5um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1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48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掩模尺寸：3英寸、4英寸、5英寸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1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48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样片尺寸：2英寸、3英寸、4英寸；厚度0.1mm--5mm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1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48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曝光方式：定时（倒计时方式）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1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48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照明不均匀性：2%（f100mm范围）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1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48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掩模相对于样片运动行程：X: ±5mm; Y: ±5mm; q: ±6度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1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48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曝光光源：紫外LED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1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48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曝光强度：40mW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1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48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最大胶厚：350um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1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48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光源平行性：＜1.8°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1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48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曝光头在曝光启动时，水平方向自动伸出，曝光结束后，水平方向自动缩回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1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48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采用4.6英寸高灵敏度触碰式液晶屏，可直接设置曝光参数，无需鼠标和键盘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1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48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掩膜夹和承片台采用采用推拉式基准平板、真空吸附的方式，方便快捷，工作效率高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1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48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外形尺寸：≤1000mm（长）1000mm(宽) 1000mm（高）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  <w:t xml:space="preserve">设备二  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1套高真空电子束蒸发镀膜机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进口设备报价不含增值税和关税。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9"/>
        <w:tblW w:w="10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9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281" w:type="dxa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9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8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真空腔室：腔室内尺寸≥Φ500×H600mm，sus304不锈钢腔室，前开门结构，腔室焊配水线；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9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28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真空系统：复合分子泵+机械泵系统，气动真空阀门，“两低一高”数显复合真空计；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9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28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极限真空：空载优于6.0×10-5Pa（设备空载抽真空24小时）；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9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28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抽速：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从大气进入10-4Pa≤35min（设备空载）；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9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28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漏率：设备升压率≤0.8Pa/h；设备保压：停泵12小时后，真空≤10Pa；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9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28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电子枪蒸发源：功率：≥8000W；6 穴坩埚；蒸发源与基片距离≥400mm；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9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28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电阻蒸发源：2组金属蒸发源；1台≥3000W蒸发电源供2组蒸发源切换使用；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9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28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预留离子源位置，6cm考夫曼离子源可以根据用户需求选配；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9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28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基片台尺寸：平板型≥Φ200mm（可装载工件≥Φ150mm）；预留升降接口；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9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28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基片旋转：旋转速度：0~20 转/分钟，可调可控，可加偏压；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9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28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基片台加热：300℃±1℃；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9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28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控制方式：PLC+触摸屏人机界面半自动控制系统；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9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28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报警及保护,对泵、电极等缺水、过流过压、断路等异常情况进行报警并执行相应保护措施；完善的逻辑程序互锁保护系统；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9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28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占地面积：长×宽≤3000×2000mm。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9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28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配置清单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1、真空腔室：≥Φ500×600mm 立式前开门 1 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2、观察窗：≥Φ100mm 2 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3、屏蔽板：不锈钢材质，便于拆卸清洁、更换 1 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4、旋转加热基片台 1 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5、电子枪及电源 1 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6、真空系统 1 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7、压缩空气 1 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8、水路系统 1 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9、电气控制系统 1 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10、冷却循环水机 1 台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11、低噪音Ⅰ型空压机 1 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12、机架：配脚轮，配门，一体式全封闭铝合金机架1 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13、控制柜：标准电控柜 1 台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d0bef9b3-e57e-47c3-b14c-39c2c43f5fa8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018657EF"/>
    <w:rsid w:val="02E51C21"/>
    <w:rsid w:val="03C216AE"/>
    <w:rsid w:val="088B3073"/>
    <w:rsid w:val="0A173A74"/>
    <w:rsid w:val="0A38044E"/>
    <w:rsid w:val="105765E1"/>
    <w:rsid w:val="11E46932"/>
    <w:rsid w:val="15962639"/>
    <w:rsid w:val="18990280"/>
    <w:rsid w:val="194F58BE"/>
    <w:rsid w:val="19BE5CBA"/>
    <w:rsid w:val="1B300109"/>
    <w:rsid w:val="1EE15908"/>
    <w:rsid w:val="27BB7BC4"/>
    <w:rsid w:val="2F1C1962"/>
    <w:rsid w:val="33020198"/>
    <w:rsid w:val="375C6DE7"/>
    <w:rsid w:val="38635F53"/>
    <w:rsid w:val="43BD084E"/>
    <w:rsid w:val="4B300B57"/>
    <w:rsid w:val="5AD00FA7"/>
    <w:rsid w:val="60701C05"/>
    <w:rsid w:val="64C50CB4"/>
    <w:rsid w:val="64C51278"/>
    <w:rsid w:val="6ABE0C43"/>
    <w:rsid w:val="6D4713C4"/>
    <w:rsid w:val="6FEA072C"/>
    <w:rsid w:val="710C1EC5"/>
    <w:rsid w:val="74A565C1"/>
    <w:rsid w:val="770C0F88"/>
    <w:rsid w:val="773E7889"/>
    <w:rsid w:val="77F734C0"/>
    <w:rsid w:val="7B761A97"/>
    <w:rsid w:val="7CC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0"/>
      </w:numPr>
      <w:spacing w:line="360" w:lineRule="auto"/>
      <w:outlineLvl w:val="0"/>
    </w:pPr>
    <w:rPr>
      <w:rFonts w:ascii="宋体" w:hAnsi="宋体" w:cs="Times New Roman"/>
      <w:color w:val="000000"/>
      <w:kern w:val="44"/>
      <w:sz w:val="28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"/>
    <w:basedOn w:val="1"/>
    <w:link w:val="21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5">
    <w:name w:val="Body Text Indent"/>
    <w:basedOn w:val="1"/>
    <w:link w:val="17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6">
    <w:name w:val="Plain Text"/>
    <w:basedOn w:val="1"/>
    <w:link w:val="20"/>
    <w:qFormat/>
    <w:uiPriority w:val="0"/>
    <w:rPr>
      <w:rFonts w:ascii="宋体" w:hAnsi="Courier New" w:eastAsia="宋体" w:cs="Times New Roman"/>
      <w:szCs w:val="20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11"/>
    <w:link w:val="5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7">
    <w:name w:val="正文文本缩进 Char1"/>
    <w:basedOn w:val="11"/>
    <w:link w:val="5"/>
    <w:semiHidden/>
    <w:qFormat/>
    <w:uiPriority w:val="99"/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纯文本 Char"/>
    <w:basedOn w:val="11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21">
    <w:name w:val="正文文本 Char"/>
    <w:basedOn w:val="11"/>
    <w:link w:val="4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2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5">
    <w:name w:val="fontstyle01"/>
    <w:basedOn w:val="11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6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7">
    <w:name w:val="font6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8">
    <w:name w:val="font81"/>
    <w:basedOn w:val="11"/>
    <w:qFormat/>
    <w:uiPriority w:val="0"/>
    <w:rPr>
      <w:rFonts w:ascii="sans-serif" w:hAnsi="sans-serif" w:eastAsia="sans-serif" w:cs="sans-serif"/>
      <w:color w:val="000000"/>
      <w:sz w:val="22"/>
      <w:szCs w:val="22"/>
      <w:u w:val="none"/>
    </w:rPr>
  </w:style>
  <w:style w:type="character" w:customStyle="1" w:styleId="29">
    <w:name w:val="font91"/>
    <w:basedOn w:val="11"/>
    <w:qFormat/>
    <w:uiPriority w:val="0"/>
    <w:rPr>
      <w:rFonts w:hint="default" w:ascii="sans-serif" w:hAnsi="sans-serif" w:eastAsia="sans-serif" w:cs="sans-serif"/>
      <w:color w:val="000000"/>
      <w:sz w:val="22"/>
      <w:szCs w:val="22"/>
      <w:u w:val="none"/>
    </w:rPr>
  </w:style>
  <w:style w:type="character" w:customStyle="1" w:styleId="30">
    <w:name w:val="font1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1477</Words>
  <Characters>1743</Characters>
  <Lines>7</Lines>
  <Paragraphs>2</Paragraphs>
  <TotalTime>1</TotalTime>
  <ScaleCrop>false</ScaleCrop>
  <LinksUpToDate>false</LinksUpToDate>
  <CharactersWithSpaces>1885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2024-10-11T04:59:35Z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00444C8F395B401586715FBCB0983596_13</vt:lpwstr>
  </property>
</Properties>
</file>