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17" w:name="_GoBack"/>
      <w:bookmarkEnd w:id="17"/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需求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李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88860176/88860177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阅卷系统及配套硬件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11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项目技术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见附件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spacing w:line="360" w:lineRule="auto"/>
        <w:rPr>
          <w:rFonts w:ascii="宋体" w:hAnsi="宋体" w:eastAsia="宋体" w:cs="宋体"/>
        </w:rPr>
      </w:pPr>
      <w:bookmarkStart w:id="0" w:name="_Toc98942879"/>
      <w:bookmarkStart w:id="1" w:name="_Toc19113857"/>
      <w:r>
        <w:rPr>
          <w:rFonts w:hint="eastAsia" w:ascii="宋体" w:hAnsi="宋体" w:eastAsia="宋体" w:cs="宋体"/>
        </w:rPr>
        <w:t>第</w:t>
      </w:r>
      <w:r>
        <w:rPr>
          <w:rFonts w:hint="eastAsia" w:ascii="宋体" w:hAnsi="宋体" w:eastAsia="宋体" w:cs="宋体"/>
          <w:lang w:val="en-US" w:eastAsia="zh-CN"/>
        </w:rPr>
        <w:t>一</w:t>
      </w:r>
      <w:r>
        <w:rPr>
          <w:rFonts w:hint="eastAsia" w:ascii="宋体" w:hAnsi="宋体" w:eastAsia="宋体" w:cs="宋体"/>
        </w:rPr>
        <w:t>篇 项目技术/服务要求</w:t>
      </w:r>
      <w:bookmarkEnd w:id="0"/>
      <w:bookmarkEnd w:id="1"/>
    </w:p>
    <w:p>
      <w:pPr>
        <w:pStyle w:val="3"/>
        <w:spacing w:line="360" w:lineRule="auto"/>
        <w:jc w:val="center"/>
        <w:rPr>
          <w:rFonts w:hAnsi="宋体"/>
          <w:color w:val="FF0000"/>
          <w:sz w:val="24"/>
          <w:szCs w:val="24"/>
          <w:highlight w:val="yellow"/>
        </w:rPr>
      </w:pPr>
    </w:p>
    <w:p>
      <w:pPr>
        <w:pStyle w:val="3"/>
      </w:pPr>
      <w:bookmarkStart w:id="2" w:name="_Toc98942880"/>
      <w:r>
        <w:rPr>
          <w:rFonts w:hint="eastAsia"/>
        </w:rPr>
        <w:t>一、采购项目一览表</w:t>
      </w:r>
      <w:bookmarkEnd w:id="2"/>
    </w:p>
    <w:tbl>
      <w:tblPr>
        <w:tblStyle w:val="11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6787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序</w:t>
            </w:r>
            <w:r>
              <w:rPr>
                <w:rFonts w:hint="eastAsia" w:hAnsi="宋体" w:cs="宋体"/>
                <w:b/>
                <w:sz w:val="21"/>
                <w:szCs w:val="21"/>
              </w:rPr>
              <w:t>号</w:t>
            </w: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名 称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数量/单位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1</w:t>
            </w:r>
          </w:p>
        </w:tc>
        <w:tc>
          <w:tcPr>
            <w:tcW w:w="6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/>
                <w:sz w:val="21"/>
                <w:szCs w:val="21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云阅卷系统及配套硬件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1套</w:t>
            </w:r>
          </w:p>
        </w:tc>
      </w:tr>
    </w:tbl>
    <w:p/>
    <w:p>
      <w:pPr>
        <w:pStyle w:val="3"/>
      </w:pPr>
      <w:bookmarkStart w:id="3" w:name="_Toc98942881"/>
      <w:r>
        <w:rPr>
          <w:rFonts w:hint="eastAsia"/>
        </w:rPr>
        <w:t>二、采购项目技术/服务要求</w:t>
      </w:r>
      <w:bookmarkEnd w:id="3"/>
    </w:p>
    <w:tbl>
      <w:tblPr>
        <w:tblStyle w:val="11"/>
        <w:tblpPr w:leftFromText="180" w:rightFromText="180" w:vertAnchor="text" w:horzAnchor="margin" w:tblpY="225"/>
        <w:tblOverlap w:val="never"/>
        <w:tblW w:w="10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7"/>
        <w:gridCol w:w="694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946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技术/服务要求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云阅卷系统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、系统要求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1、为保证数据安全，防止知识产权纠纷，要求网上阅卷系统必须支持使用国产数据库；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2、平台所有数据必须加密传输，备份的数据库也必须加密存储，保证数据安全；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3、平台须支持本地化部署，系统可按需把应用服务器、数据库服务器分开部署，图像服务器根据业务量按科目分类部署（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投标时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截图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，并加盖供应商公章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4、采用导航式界面，通过导入考生、格式定义、卷型设置、试卷扫描、任务分配、数据生成、网上阅卷、成绩合成标准八个流程即可完成一次考试；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5、支持平台管理员、副管理员、考试管理员、扫描管理员、评阅组长、仲裁员、评阅员多级权限管理；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6、平台采用考试间数据同步功能，只需一键同步科目、考生数据、格式定义、卷行设置、任务分配等信息，无需二次导入（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投标时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提供软件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截图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，并加盖供应商公章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、功能要求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为达到项目建设的目的，进一步规范考试阅卷的管理流程，实现阅卷的公平性和公正性，提高阅卷质量和阅卷效率，促进教风和学风以及学生答卷的习惯养成，推进考试阅卷的信息化进程，确保阅卷的标准化程度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,实现考试线上阅卷，自动统分。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1）在线制卡系统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1、在线制卡支持常规模板调用与编辑，支持模版复用，支持卡样导入，支持卡样PDF格式导出（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投标时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提供软件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截图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，并加盖供应商公章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支持一键生成标记点、关键字、客观题、主观题，支持作文区字数设置，自动生成作文方格；支持A4、A3两栏、A3三栏、8K、B4等多卡样、单双面答题卡制作；支持答题区图片导入，图片灵活拖动、缩小放大功能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3、支持自动生成条形码卡样，支持一人一卡，无须单独贴条形码（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投标时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提供软件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截图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，并加盖供应商公章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2）民主选举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1、支持各类民主测评，支持选举，支持推优；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民主测评，支持自定义测评，支持自定义测评卡，支持自定义测评对象，支持自定义测评内容；测评内容，包括各种测评项都可以自定义，德、能、勤、绩、廉等各种方式；选举支持各种选举模式，如等额选举，差额选举，另选他人等等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3、管理人员可一键存档所有选择场次的测评电子答题卡（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投标时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提供软件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截图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，并加盖供应商公章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3）扫描系统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1、支持对接国内自主研发的光学图像阅读机、光标阅读机，高速扫描仪（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投标时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提供承诺函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，并加盖供应商公章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2、支持加载本地已扫描答卷图像文件的扫描模式；支持A、B答题卡、多科目、一科多卡混扫识别；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、网上阅卷系统必须支持答题卷边扫描边纠错功能，对扫描答题卷提供实时检查、改正、追踪等手段，对折角、填涂错误、缺考、印刷异常等错误进行即时纠错处理，并同步完成OMR识别、主客观题切分以及客观题判分等功能，确保扫描的准确性，对漏扫情况实时监控，扫描后不需要对扫描图像进行后期识别工作，支持阅卷后重评客观题，并支持后期客观题识别和主观题切分处理； 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4、支持离线扫描，支持断点续传；支持集中和分散扫描，支持分学校、分考场、分科目扫描识别。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4）阅卷系统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1、支持手机、IPAD、电脑端阅卷方式，评阅教师使用浏览器或手机扫码登录阅卷，无需安装任何阅卷端软件，以满足在各种网络环境下登录、评卷（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投标时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提供软件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截图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，并加盖供应商公章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2、支持对异常卷、雷同卷的处理功能，评阅教师可任意回评评阅过的试卷，可以限制回评时间和份数；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3、支持单评、双评等多种评阅方式； 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4、支持评阅教师查看整图，支持教师明批模式（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投标时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提供软件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功能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截图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，并加盖供应商公章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5、支持鼠标、数字键盘、打分板和贴分板等多种打分方式，贴分板支持加分和减分两种方式自定义打分，支持打“√”、“×”、“-”、</w:t>
            </w:r>
            <w:r>
              <w:rPr>
                <w:rFonts w:ascii="Segoe UI Symbol" w:hAnsi="Segoe UI Symbol" w:cs="Segoe UI Symbo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⭕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️等标记；支持手输评语；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6、支持打分步长灵活设置，支持先等级后打分模式，支持扣分得分点；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7、支持对评卷教师的评卷质量监控，包括提供对各题评阅的平均分及给分曲线，并提供抽查功能；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8、支持对阅卷的总体进度、各题进度、个人进度的实时监控；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9、支持任意题目正评和试评状态的随时切换，支持对任意科目、任意题目评卷仲裁检查功能。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5）成绩分析系统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1、考试成绩分析可下载各班级、学科考试成绩，生成试卷试题难度、区分度、信度、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效度指标；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展现班级学生整体成绩的分段人数分布；支持试卷综合分析、工作量统计分析、考生违纪名单下载；支持在线图表成绩分析和试卷分析；支持统计班级在一次学科考试中的小题综合分析和客观题选择率；支持对各种分析报表批量打包下载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三、服务要求</w:t>
            </w:r>
          </w:p>
          <w:p>
            <w:pPr>
              <w:adjustRightInd w:val="0"/>
              <w:snapToGrid w:val="0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1、为保障系统稳定性及运维能力，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阅卷系统厂家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拥有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1名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软件架构设计（高级）人员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（投标时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提供以上人员证书复印件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，加盖供应商公章）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rPr>
                <w:rFonts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、为保障系统稳定性及运维能力，提供SPCA软件能力成熟度等级达到5级证书（投标时提供证书复印件并加盖供应商公章）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高速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扫描仪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幅面：A3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扫描速度：90ppm/180ipm(200dpi模式下黑白彩色同速)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图像传感器：CIS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光源：LED(R/G/B)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光学分辨率：300dpi/600dpi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扫描分辨率：1-600dpi,ldpi步进可调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图像处理器：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GPU(片上图像处理单元)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单元；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送稿器容纸量：≥200张(A4:70g/m²)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进纸方式：自动进纸；U型通道(下进纸，上出纸)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扫描页面：单面/双面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介质尺寸：宽度：114-310mm,长度：70-1000mm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介质厚度或重量：0.06-0.15mm;40g-157g/m²</w:t>
            </w:r>
          </w:p>
          <w:p>
            <w:pP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扫描模式：灰度，彩色，黑白，自动颜色识别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图像输出格式：JPEG/TIFF/BMP/PDF/PNG/双层PDF/OFD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内置操作系统：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安卓操作系统或LINUX操作系统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支持接口：USB3.0*1 Type B;TYPE-C扩展触摸屏、显示屏（免PC操作）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网络模块(配屏应用）：WIFI 2.4G\5G双频兼容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图像处理功能：自适应幅面，对折，跳过空白页，正反面交换，图像拆分，亮度/对比度/伽玛，锐化与模糊，多流输出，消除黑框，自动纠偏，多流输出除红，答题卡除红，穿孔移除，噪点优化， 背景移除，尺寸检测，待纸扫描模式，自动文本方向识别，连续/指定页数扫描，图像旋转等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其他功能：超声波双张检测功能，订书钉检测功能，重要走纸技术：强、中、弱分离三种分纸模式，以适应多种纸张稳定走纸。计数功能，歪斜检测，休眠时间设置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支持驱动：TWAIN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支持操作系统：windows7、windows8、windows10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，以及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国产操作系统UOS、银河麒麟、中标麒麟等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电源：DG24V/3.75A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能耗：工工作状态：50W,待机模式：&lt;0.5W;低功耗模式：6W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操作环境：温度：0℃-40℃,湿度：20%RH-85%RH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、提供售后服务三年，投标时提供原厂售后服务保障函，交货时需提供加盖原厂家公司明材料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国产品牌：国产品牌非OEM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产品认证：CCC、节能</w:t>
            </w:r>
          </w:p>
          <w:p>
            <w:pPr>
              <w:widowControl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、为防止虚假应标，投标时提供扫描仪厂家开具并加盖公章的所投品牌型号参数确认函。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塔式服务器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本项目投标产品不接受OEM产品投标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外型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塔式服务器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重量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满配≤33kg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处理器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支持2颗Intel® 至强®处理器Skylake系列，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本次配置1颗 Intel Xeon  Gold 6130 (16C,125W,2.1GHz) Processor Option Kit；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芯片组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Intel®C621服务器专用芯片组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内存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及硬盘：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16个内存插槽，最高支持DDR4-2933内存，最大内存容量1TB，支持高级内存纠错，内存镜像，内存热备等高级功能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内存类型：支持RDIMM，LRDIMM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，本次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内存容量：RDIMM：32G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DDR4 3200 * 1；</w:t>
            </w:r>
          </w:p>
          <w:p>
            <w:pP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硬盘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最大支持硬盘数：最多4块3.5寸SATA硬盘（非热插拔），或最多16块2.5寸SAS硬盘或者SATA SSD硬盘（热插拔）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；本次配置4T SATA企业级 7200转 硬盘 * 3；</w:t>
            </w:r>
          </w:p>
          <w:p>
            <w:pP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RAID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：独立SAS 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RAID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控制器，2G缓存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支持raid 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0/1/5/6/10/50/60的、具有缓存功能的高性能SAS RAID控制器，并可拓展缓存保护电池、电容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集成IO端口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前置：2个USB 3.0接口，可选支持音频输入/输出（耳机&amp;Mic）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后置：2个USB 3.0接口，1个标准VGA接口，2个RJ45网络接口，1个独立管理网口，1个串口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内置：2个USB 3.0接口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IO插槽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6个PCIE 3.0插槽，其中3个PCIE x16插槽+3个x8插槽，其中一个x16插槽为x8信号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网络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及电源：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板载双千兆网口，支持网络唤醒、网络冗余、负载均衡等网络高级特性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标准PCIE插槽的网络适配器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电源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：本次配置：单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电500W输出功率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支持1+1冗余电源，单电最高支持1250W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前置风扇*1, 后置风扇*1, 2.5硬盘风扇*1（或者2，与硬盘背板数量一致）, 3.5硬盘风扇*1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可支持TPM LPC模块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/>
                <w:sz w:val="21"/>
                <w:szCs w:val="21"/>
              </w:rPr>
              <w:t>售后服务</w:t>
            </w:r>
            <w:r>
              <w:rPr>
                <w:rFonts w:hint="eastAsia" w:ascii="Times New Roman"/>
                <w:sz w:val="21"/>
                <w:szCs w:val="21"/>
              </w:rPr>
              <w:t>及</w:t>
            </w:r>
            <w:r>
              <w:rPr>
                <w:rFonts w:ascii="Times New Roman"/>
                <w:sz w:val="21"/>
                <w:szCs w:val="21"/>
              </w:rPr>
              <w:t>认证</w:t>
            </w:r>
            <w:r>
              <w:rPr>
                <w:rFonts w:hint="eastAsia" w:ascii="Times New Roman"/>
                <w:sz w:val="21"/>
                <w:szCs w:val="21"/>
              </w:rPr>
              <w:t>：</w:t>
            </w:r>
            <w:r>
              <w:rPr>
                <w:rFonts w:ascii="Times New Roman"/>
                <w:sz w:val="21"/>
                <w:szCs w:val="21"/>
              </w:rPr>
              <w:t>三年原厂上门保修</w:t>
            </w:r>
            <w:r>
              <w:rPr>
                <w:rFonts w:hint="eastAsia" w:ascii="Times New Roman"/>
                <w:sz w:val="21"/>
                <w:szCs w:val="21"/>
              </w:rPr>
              <w:t>，</w:t>
            </w:r>
            <w:r>
              <w:rPr>
                <w:rFonts w:ascii="Times New Roman"/>
                <w:sz w:val="21"/>
                <w:szCs w:val="21"/>
              </w:rPr>
              <w:t>提供</w:t>
            </w:r>
            <w:r>
              <w:rPr>
                <w:rFonts w:ascii="Times New Roman"/>
                <w:color w:val="FF0000"/>
                <w:sz w:val="21"/>
                <w:szCs w:val="21"/>
              </w:rPr>
              <w:t>环境标志认证</w:t>
            </w:r>
            <w:r>
              <w:rPr>
                <w:rFonts w:hint="eastAsia" w:ascii="Times New Roman"/>
                <w:color w:val="FF0000"/>
                <w:sz w:val="21"/>
                <w:szCs w:val="21"/>
              </w:rPr>
              <w:t>证书、</w:t>
            </w:r>
            <w:r>
              <w:rPr>
                <w:rFonts w:ascii="Times New Roman"/>
                <w:color w:val="FF0000"/>
                <w:sz w:val="21"/>
                <w:szCs w:val="21"/>
              </w:rPr>
              <w:t>3C标志认证</w:t>
            </w:r>
            <w:r>
              <w:rPr>
                <w:rFonts w:hint="eastAsia" w:ascii="Times New Roman"/>
                <w:color w:val="FF0000"/>
                <w:sz w:val="21"/>
                <w:szCs w:val="21"/>
              </w:rPr>
              <w:t>证书、</w:t>
            </w:r>
            <w:r>
              <w:rPr>
                <w:rFonts w:ascii="Times New Roman"/>
                <w:color w:val="FF0000"/>
                <w:sz w:val="21"/>
                <w:szCs w:val="21"/>
              </w:rPr>
              <w:t>节能认证</w:t>
            </w:r>
            <w:r>
              <w:rPr>
                <w:rFonts w:hint="eastAsia" w:ascii="Times New Roman"/>
                <w:color w:val="FF0000"/>
                <w:sz w:val="21"/>
                <w:szCs w:val="21"/>
              </w:rPr>
              <w:t>证书</w:t>
            </w:r>
            <w:r>
              <w:rPr>
                <w:rFonts w:hint="eastAsia" w:ascii="Times New Roman"/>
                <w:sz w:val="21"/>
                <w:szCs w:val="21"/>
              </w:rPr>
              <w:t>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阅卷终端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处理器：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酷睿i5-12500 处理器；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芯片组 英特尔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Q670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、内存及硬盘：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内存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16GB DDR4-3200，内存插槽 2 个 DIMM；硬盘：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512GB M.2  SSD；显卡：集显；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扩展插槽 1 个 M.2 2230；1 个 M.2 2280；1 个 PCI 插槽；1 个 PCIe x1； 1 个 PCI；1 个 PCIe 4 x16；端口和接口 前置：1 个耳机/麦克风组合插孔；1 个 USB Type-C 10Gbps 端口；3 个USB Type-A 10Gbps 端口。后置：1 个音频输出端口；1 个电源接口；1 个 RJ-45；1 个 HDMI；3 个 USB Type-A 5Gbps 端口；1 个 DisplayPort 1.4；2 个 USB Type-A 2.0端口；</w:t>
            </w:r>
          </w:p>
          <w:p>
            <w:pP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键盘鼠标：原厂有线键盘，有线鼠标；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集成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网卡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显示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：同品牌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23.8寸宽屏显示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Ansi="宋体"/>
                <w:sz w:val="21"/>
                <w:szCs w:val="21"/>
              </w:rPr>
              <w:t>售后服务：三年保修</w:t>
            </w:r>
            <w:r>
              <w:rPr>
                <w:rFonts w:hint="eastAsia" w:hAnsi="宋体"/>
                <w:sz w:val="21"/>
                <w:szCs w:val="21"/>
              </w:rPr>
              <w:t>，上门服务。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rPr>
          <w:rFonts w:hAnsi="宋体" w:cs="宋体"/>
        </w:rPr>
      </w:pPr>
      <w:bookmarkStart w:id="4" w:name="_Toc98942882"/>
      <w:bookmarkStart w:id="5" w:name="_Toc19113858"/>
      <w:bookmarkStart w:id="6" w:name="_Toc267320049"/>
      <w:r>
        <w:rPr>
          <w:rFonts w:hint="eastAsia" w:hAnsi="宋体" w:cs="宋体"/>
        </w:rPr>
        <w:br w:type="page"/>
      </w:r>
    </w:p>
    <w:p>
      <w:pPr>
        <w:pStyle w:val="2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</w:rPr>
        <w:t>第三篇 项目商务要求</w:t>
      </w:r>
      <w:bookmarkEnd w:id="4"/>
      <w:bookmarkEnd w:id="5"/>
      <w:bookmarkStart w:id="7" w:name="_Toc505608529"/>
    </w:p>
    <w:bookmarkEnd w:id="6"/>
    <w:bookmarkEnd w:id="7"/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“”标注的商务需求为符合性审查中的实质性要求，响应文件若不满足按无效投标处理</w:t>
      </w:r>
    </w:p>
    <w:p>
      <w:pPr>
        <w:pStyle w:val="3"/>
        <w:spacing w:line="360" w:lineRule="auto"/>
      </w:pPr>
      <w:bookmarkStart w:id="8" w:name="_Toc98942883"/>
      <w:r>
        <w:rPr>
          <w:rFonts w:hint="eastAsia"/>
        </w:rPr>
        <w:t>一、交货期、交货地点及验收方式</w:t>
      </w:r>
      <w:bookmarkEnd w:id="8"/>
    </w:p>
    <w:p>
      <w:pPr>
        <w:snapToGrid w:val="0"/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1.1交货期</w:t>
      </w:r>
    </w:p>
    <w:p>
      <w:pPr>
        <w:snapToGrid w:val="0"/>
        <w:spacing w:line="276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中标人应在采购合同签订</w:t>
      </w:r>
      <w:r>
        <w:rPr>
          <w:rFonts w:hint="eastAsia"/>
          <w:sz w:val="24"/>
          <w:highlight w:val="none"/>
        </w:rPr>
        <w:t>后20个</w:t>
      </w:r>
      <w:r>
        <w:rPr>
          <w:rFonts w:hint="eastAsia"/>
          <w:sz w:val="24"/>
        </w:rPr>
        <w:t>日历日内交货并完成安装调试。由于中标人原因</w:t>
      </w:r>
      <w:r>
        <w:rPr>
          <w:rFonts w:hint="eastAsia" w:hAnsi="宋体"/>
          <w:sz w:val="24"/>
          <w:szCs w:val="24"/>
        </w:rPr>
        <w:t>每超过1个日历日赔偿采购人合同总额的千分之五延期费。</w:t>
      </w:r>
    </w:p>
    <w:p>
      <w:pPr>
        <w:snapToGrid w:val="0"/>
        <w:spacing w:line="400" w:lineRule="exact"/>
        <w:ind w:firstLine="480" w:firstLineChars="200"/>
        <w:rPr>
          <w:sz w:val="24"/>
        </w:rPr>
      </w:pPr>
    </w:p>
    <w:p>
      <w:pPr>
        <w:pStyle w:val="3"/>
      </w:pPr>
      <w:bookmarkStart w:id="9" w:name="_Toc98942884"/>
      <w:bookmarkStart w:id="10" w:name="_Toc505608530"/>
      <w:bookmarkStart w:id="11" w:name="_Toc267320050"/>
      <w:r>
        <w:rPr>
          <w:rFonts w:hint="eastAsia"/>
        </w:rPr>
        <w:t>二、报价要求</w:t>
      </w:r>
      <w:bookmarkEnd w:id="9"/>
      <w:bookmarkEnd w:id="10"/>
    </w:p>
    <w:p>
      <w:pPr>
        <w:snapToGrid w:val="0"/>
        <w:spacing w:line="360" w:lineRule="auto"/>
        <w:ind w:firstLine="480" w:firstLineChars="200"/>
        <w:rPr>
          <w:sz w:val="24"/>
        </w:rPr>
      </w:pPr>
      <w:bookmarkStart w:id="12" w:name="_Toc505608531"/>
      <w:r>
        <w:rPr>
          <w:rFonts w:hint="eastAsia"/>
          <w:sz w:val="24"/>
        </w:rPr>
        <w:t>2.1.本次报价须为人民币报价，包含：产品价、运输费（含装卸费）、保险费、安装费、调试费、售后服务费、税费、培训费等货到采购人指定地点的所有费用。</w:t>
      </w:r>
    </w:p>
    <w:p>
      <w:pPr>
        <w:pStyle w:val="3"/>
      </w:pPr>
      <w:bookmarkStart w:id="13" w:name="_Toc98942885"/>
      <w:r>
        <w:rPr>
          <w:rFonts w:hint="eastAsia"/>
        </w:rPr>
        <w:t>三、质量保证及售后服务</w:t>
      </w:r>
      <w:bookmarkEnd w:id="11"/>
      <w:bookmarkEnd w:id="12"/>
      <w:bookmarkEnd w:id="13"/>
    </w:p>
    <w:p>
      <w:pPr>
        <w:snapToGrid w:val="0"/>
        <w:spacing w:line="400" w:lineRule="exact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3.1产品质量保证期</w:t>
      </w:r>
    </w:p>
    <w:p>
      <w:pPr>
        <w:snapToGrid w:val="0"/>
        <w:spacing w:line="360" w:lineRule="auto"/>
        <w:ind w:firstLine="480" w:firstLineChars="200"/>
        <w:rPr>
          <w:rFonts w:hAnsi="宋体" w:cs="宋体"/>
          <w:sz w:val="24"/>
          <w:szCs w:val="24"/>
        </w:rPr>
      </w:pPr>
      <w:r>
        <w:rPr>
          <w:rFonts w:hint="eastAsia"/>
          <w:sz w:val="24"/>
        </w:rPr>
        <w:t>3.1.</w:t>
      </w:r>
      <w:r>
        <w:rPr>
          <w:rFonts w:hint="eastAsia" w:hAnsi="宋体" w:cs="宋体"/>
          <w:sz w:val="24"/>
          <w:szCs w:val="24"/>
        </w:rPr>
        <w:t>1.投标人应明确承诺：其投标产品质量保证期达到</w:t>
      </w:r>
      <w:r>
        <w:rPr>
          <w:rFonts w:hint="eastAsia" w:hAnsi="宋体" w:cs="宋体"/>
          <w:sz w:val="24"/>
          <w:szCs w:val="24"/>
          <w:u w:val="single"/>
        </w:rPr>
        <w:t xml:space="preserve">  </w:t>
      </w:r>
      <w:r>
        <w:rPr>
          <w:rFonts w:hint="eastAsia" w:hAnsi="宋体" w:cs="宋体"/>
          <w:sz w:val="24"/>
          <w:szCs w:val="24"/>
          <w:highlight w:val="none"/>
          <w:u w:val="single"/>
        </w:rPr>
        <w:t xml:space="preserve"> 三</w:t>
      </w:r>
      <w:r>
        <w:rPr>
          <w:rFonts w:hint="eastAsia" w:hAnsi="宋体" w:cs="宋体"/>
          <w:sz w:val="24"/>
          <w:szCs w:val="24"/>
          <w:u w:val="single"/>
        </w:rPr>
        <w:t xml:space="preserve">  </w:t>
      </w:r>
      <w:r>
        <w:rPr>
          <w:rFonts w:hint="eastAsia" w:hAnsi="宋体" w:cs="宋体"/>
          <w:sz w:val="24"/>
          <w:szCs w:val="24"/>
        </w:rPr>
        <w:t>年（耗材及易损件除外）。</w:t>
      </w:r>
    </w:p>
    <w:p>
      <w:pPr>
        <w:pStyle w:val="3"/>
        <w:rPr>
          <w:rFonts w:hint="eastAsia"/>
        </w:rPr>
      </w:pPr>
      <w:bookmarkStart w:id="14" w:name="_Toc505608532"/>
      <w:bookmarkStart w:id="15" w:name="_Toc267320051"/>
      <w:bookmarkStart w:id="16" w:name="_Toc98942886"/>
      <w:r>
        <w:rPr>
          <w:rFonts w:hint="eastAsia"/>
        </w:rPr>
        <w:t>四、付款方式</w:t>
      </w:r>
      <w:bookmarkEnd w:id="14"/>
      <w:bookmarkEnd w:id="15"/>
      <w:bookmarkEnd w:id="16"/>
    </w:p>
    <w:p>
      <w:pPr>
        <w:pStyle w:val="3"/>
        <w:rPr>
          <w:rFonts w:ascii="宋体" w:hAnsi="Times New Roman"/>
          <w:bCs w:val="0"/>
          <w:kern w:val="0"/>
          <w:sz w:val="24"/>
          <w:szCs w:val="24"/>
        </w:rPr>
      </w:pPr>
      <w:r>
        <w:rPr>
          <w:rFonts w:ascii="宋体" w:hAnsi="Times New Roman"/>
          <w:bCs w:val="0"/>
          <w:kern w:val="0"/>
          <w:sz w:val="24"/>
          <w:szCs w:val="24"/>
        </w:rPr>
        <w:t xml:space="preserve">    1.验收合格后，并收到乙方开具合同全额发票后15个工作日内，甲方支付合同金额的95%；</w:t>
      </w:r>
    </w:p>
    <w:p>
      <w:pPr>
        <w:pStyle w:val="3"/>
        <w:rPr>
          <w:rFonts w:hAnsi="宋体" w:cs="宋体"/>
          <w:sz w:val="24"/>
          <w:szCs w:val="24"/>
        </w:rPr>
      </w:pPr>
      <w:r>
        <w:rPr>
          <w:rFonts w:ascii="宋体" w:hAnsi="Times New Roman"/>
          <w:bCs w:val="0"/>
          <w:kern w:val="0"/>
          <w:sz w:val="24"/>
          <w:szCs w:val="24"/>
        </w:rPr>
        <w:t xml:space="preserve">    2.乙方在质保期满且维保义务妥善履行完毕后，向甲方提交书面付款申请，经甲方确认付款金额后，乙方再次提交确认金额的书面付款申请，甲方自收到该申请书后15个工作日内，支付剩余款项；</w:t>
      </w:r>
    </w:p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ee9e6755-8930-4478-b02e-9237bb361a90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25164A3"/>
    <w:rsid w:val="044F77F9"/>
    <w:rsid w:val="105765E1"/>
    <w:rsid w:val="194F58BE"/>
    <w:rsid w:val="1B300109"/>
    <w:rsid w:val="1C3036DC"/>
    <w:rsid w:val="249F06E1"/>
    <w:rsid w:val="5B931A28"/>
    <w:rsid w:val="60701C05"/>
    <w:rsid w:val="632B135F"/>
    <w:rsid w:val="64C50CB4"/>
    <w:rsid w:val="710C1EC5"/>
    <w:rsid w:val="74A565C1"/>
    <w:rsid w:val="773E7889"/>
    <w:rsid w:val="77F734C0"/>
    <w:rsid w:val="7B761A97"/>
    <w:rsid w:val="7CC971B4"/>
    <w:rsid w:val="7D297F6E"/>
    <w:rsid w:val="7F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eastAsia="仿宋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Arial" w:hAnsi="Arial"/>
      <w:bCs/>
      <w:kern w:val="2"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link w:val="23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7">
    <w:name w:val="Body Text Indent"/>
    <w:basedOn w:val="1"/>
    <w:link w:val="19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8">
    <w:name w:val="Plain Text"/>
    <w:basedOn w:val="1"/>
    <w:link w:val="22"/>
    <w:qFormat/>
    <w:uiPriority w:val="0"/>
    <w:rPr>
      <w:rFonts w:ascii="宋体" w:hAnsi="Courier New" w:eastAsia="宋体" w:cs="Times New Roman"/>
      <w:szCs w:val="20"/>
    </w:r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18">
    <w:name w:val="正文文本缩进 Char"/>
    <w:basedOn w:val="13"/>
    <w:link w:val="7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9">
    <w:name w:val="正文文本缩进 Char1"/>
    <w:basedOn w:val="13"/>
    <w:link w:val="7"/>
    <w:semiHidden/>
    <w:qFormat/>
    <w:uiPriority w:val="99"/>
  </w:style>
  <w:style w:type="character" w:customStyle="1" w:styleId="20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纯文本 Char"/>
    <w:basedOn w:val="13"/>
    <w:link w:val="8"/>
    <w:qFormat/>
    <w:uiPriority w:val="0"/>
    <w:rPr>
      <w:rFonts w:ascii="宋体" w:hAnsi="Courier New" w:eastAsia="宋体" w:cs="Times New Roman"/>
      <w:szCs w:val="20"/>
    </w:rPr>
  </w:style>
  <w:style w:type="character" w:customStyle="1" w:styleId="23">
    <w:name w:val="正文文本 Char"/>
    <w:basedOn w:val="13"/>
    <w:link w:val="6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4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7">
    <w:name w:val="fontstyle01"/>
    <w:basedOn w:val="13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8">
    <w:name w:val="font7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9">
    <w:name w:val="font61"/>
    <w:basedOn w:val="1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4297</Words>
  <Characters>4975</Characters>
  <Lines>7</Lines>
  <Paragraphs>2</Paragraphs>
  <TotalTime>0</TotalTime>
  <ScaleCrop>false</ScaleCrop>
  <LinksUpToDate>false</LinksUpToDate>
  <CharactersWithSpaces>5144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李毅</cp:lastModifiedBy>
  <dcterms:modified xsi:type="dcterms:W3CDTF">2024-10-10T00:52:20Z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E3CEE38AC88341DF867DA79E493CBEDA</vt:lpwstr>
  </property>
</Properties>
</file>