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10</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9</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10</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14</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伍</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88602358</w:t>
      </w:r>
      <w:r>
        <w:rPr>
          <w:rFonts w:hint="eastAsia" w:cs="Tahoma" w:asciiTheme="minorEastAsia" w:hAnsiTheme="minorEastAsia"/>
          <w:b/>
          <w:color w:val="333333"/>
          <w:sz w:val="28"/>
          <w:szCs w:val="28"/>
          <w:shd w:val="clear" w:color="auto" w:fill="FFFFFF"/>
        </w:rPr>
        <w:t>。</w:t>
      </w:r>
    </w:p>
    <w:p>
      <w:pPr>
        <w:jc w:val="center"/>
        <w:rPr>
          <w:rFonts w:hint="default"/>
          <w:b/>
          <w:color w:val="FF0000"/>
          <w:sz w:val="28"/>
          <w:szCs w:val="28"/>
          <w:lang w:val="en-US" w:eastAsia="zh-CN"/>
        </w:rPr>
      </w:pPr>
      <w:r>
        <w:rPr>
          <w:rFonts w:hint="eastAsia" w:ascii="Calibri" w:hAnsi="Calibri" w:eastAsia="宋体" w:cs="Times New Roman"/>
          <w:b/>
          <w:color w:val="000000"/>
          <w:sz w:val="28"/>
          <w:szCs w:val="28"/>
          <w:lang w:val="en-US" w:eastAsia="zh-CN"/>
        </w:rPr>
        <w:t>1批专用设备采购清单</w:t>
      </w:r>
    </w:p>
    <w:tbl>
      <w:tblPr>
        <w:tblStyle w:val="9"/>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4354"/>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p>
        </w:tc>
        <w:tc>
          <w:tcPr>
            <w:tcW w:w="4354"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品名（规格）</w:t>
            </w:r>
          </w:p>
        </w:tc>
        <w:tc>
          <w:tcPr>
            <w:tcW w:w="268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w:t>
            </w:r>
          </w:p>
        </w:tc>
        <w:tc>
          <w:tcPr>
            <w:tcW w:w="4354"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小动物活体成像系统</w:t>
            </w:r>
          </w:p>
        </w:tc>
        <w:tc>
          <w:tcPr>
            <w:tcW w:w="2687" w:type="dxa"/>
            <w:shd w:val="clear" w:color="000000"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1"/>
                <w:szCs w:val="21"/>
                <w:lang w:val="en-US"/>
              </w:rPr>
            </w:pPr>
            <w:r>
              <w:rPr>
                <w:rFonts w:hint="eastAsia" w:ascii="宋体" w:hAnsi="宋体" w:eastAsia="宋体" w:cs="宋体"/>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2</w:t>
            </w:r>
          </w:p>
        </w:tc>
        <w:tc>
          <w:tcPr>
            <w:tcW w:w="4354"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高分辨Micro CT成像仪</w:t>
            </w:r>
          </w:p>
        </w:tc>
        <w:tc>
          <w:tcPr>
            <w:tcW w:w="2687"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797" w:type="dxa"/>
            <w:shd w:val="clear" w:color="000000" w:fill="FFFFFF"/>
            <w:vAlign w:val="center"/>
          </w:tcPr>
          <w:p>
            <w:pPr>
              <w:widowControl/>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 w:val="21"/>
                <w:szCs w:val="21"/>
                <w:lang w:val="en-US" w:eastAsia="zh-CN"/>
              </w:rPr>
              <w:t>3</w:t>
            </w:r>
          </w:p>
        </w:tc>
        <w:tc>
          <w:tcPr>
            <w:tcW w:w="4354"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切片扫描仪（带荧光）</w:t>
            </w:r>
          </w:p>
        </w:tc>
        <w:tc>
          <w:tcPr>
            <w:tcW w:w="2687" w:type="dxa"/>
            <w:shd w:val="clear" w:color="000000"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1套</w:t>
            </w:r>
          </w:p>
        </w:tc>
      </w:tr>
    </w:tbl>
    <w:p>
      <w:pPr>
        <w:jc w:val="left"/>
        <w:rPr>
          <w:rFonts w:hint="eastAsia"/>
          <w:b/>
          <w:color w:val="FF0000"/>
          <w:sz w:val="28"/>
          <w:szCs w:val="28"/>
          <w:lang w:eastAsia="zh-CN"/>
        </w:rPr>
      </w:pPr>
    </w:p>
    <w:p>
      <w:pPr>
        <w:rPr>
          <w:rFonts w:hint="eastAsia" w:ascii="Calibri" w:hAnsi="Calibri" w:eastAsia="宋体" w:cs="Times New Roman"/>
          <w:b/>
          <w:color w:val="000000"/>
          <w:sz w:val="28"/>
          <w:szCs w:val="28"/>
          <w:u w:val="none"/>
          <w:lang w:val="en-US" w:eastAsia="zh-CN"/>
        </w:rPr>
      </w:pPr>
      <w:r>
        <w:rPr>
          <w:rFonts w:hint="eastAsia" w:ascii="Calibri" w:hAnsi="Calibri" w:eastAsia="宋体" w:cs="Times New Roman"/>
          <w:b/>
          <w:color w:val="000000"/>
          <w:sz w:val="28"/>
          <w:szCs w:val="28"/>
          <w:u w:val="none"/>
          <w:lang w:val="en-US" w:eastAsia="zh-CN"/>
        </w:rPr>
        <w:br w:type="page"/>
      </w:r>
    </w:p>
    <w:p>
      <w:pPr>
        <w:jc w:val="center"/>
        <w:rPr>
          <w:b/>
          <w:color w:val="000000"/>
          <w:sz w:val="28"/>
          <w:szCs w:val="28"/>
        </w:rPr>
      </w:pPr>
      <w:r>
        <w:rPr>
          <w:rFonts w:hint="eastAsia" w:ascii="Calibri" w:hAnsi="Calibri" w:eastAsia="宋体" w:cs="Times New Roman"/>
          <w:b/>
          <w:color w:val="000000"/>
          <w:sz w:val="28"/>
          <w:szCs w:val="28"/>
          <w:u w:val="none"/>
          <w:lang w:val="en-US" w:eastAsia="zh-CN"/>
        </w:rPr>
        <w:t xml:space="preserve">设备一  </w:t>
      </w:r>
      <w:r>
        <w:rPr>
          <w:rFonts w:hint="eastAsia" w:ascii="Calibri" w:hAnsi="Calibri" w:eastAsia="宋体" w:cs="Times New Roman"/>
          <w:b/>
          <w:color w:val="000000"/>
          <w:sz w:val="28"/>
          <w:szCs w:val="28"/>
          <w:u w:val="single"/>
          <w:lang w:val="en-US" w:eastAsia="zh-CN"/>
        </w:rPr>
        <w:t>1套小动物活体成像系统</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进口设备报价不含增值税和关税。</w:t>
            </w:r>
          </w:p>
        </w:tc>
      </w:tr>
    </w:tbl>
    <w:p>
      <w:pPr>
        <w:pStyle w:val="2"/>
        <w:rPr>
          <w:rFonts w:hint="eastAsia"/>
          <w:lang w:eastAsia="zh-CN"/>
        </w:rPr>
      </w:pPr>
    </w:p>
    <w:tbl>
      <w:tblPr>
        <w:tblStyle w:val="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2"/>
        <w:gridCol w:w="90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6" w:type="pct"/>
            <w:tcBorders>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580" w:type="pct"/>
            <w:tcBorders>
              <w:left w:val="nil"/>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成像主机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采用背照射、背部薄化科学一级CCD；CCD采用电制冷方式，工作温度达到绝对-90℃，温度可视化；CCD尺寸≥2.7 x 2.7 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7"/>
                <w:lang w:val="en-US" w:eastAsia="zh-CN" w:bidi="ar"/>
              </w:rPr>
              <w:t>1.2</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CCD有效像素数量≥2048 x 2048；量子效率≥ 95% (550 -720 nm) ≥90%（480-750nm）；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CCD读数噪音≤3个电子（bin=1,2,4）或5个电子（bin=8,16）；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最小检测光子数≤70光子/秒/弧度/平方厘米；能够检测到小鼠皮下10个细胞（提供SCI证明文献1篇）。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采用定焦镜头，最大光圈≥f/1，可自动聚焦；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成像视野范围可调，最大视野能够满足≥5只小鼠同时成像，最小视野≤4cm×4cm，提供软件截图；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荧光光源采用长寿命高效金属卤素灯(非LED光源，保证荧光深层激发)，功率≥150瓦；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同时具备荧光反射及透射扫描成像模式，能有效进行浅层及深层荧光信号的成像；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配置≥12位激发光滤光片转轮，标配窄带激发光滤片覆盖415-760nm波段，同时装载数量≥10个（10个不同激发波段），滤光片杂光截止率OD≥7，滤光片直径≥55mm；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 </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配置≥24位发射光滤光片转轮，标配窄带发射光滤片覆盖490-850nm波段，同时装载数量≥18个（18个不同发射波段），滤光片杂光截止率OD≥7，滤光片直径≥55mm；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所有滤片均为高品质滤光片，透光率≥95%，滤光片采用精密的离子束溅射(IBS)技术进行硬涂层处理，使用寿命长，所有滤光片杂光截止率OD≥7，配备中性密度滤光片，用于校正组织吸光特性的差异；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具备激光拓扑扫描器，用于动物体表三维拓扑结构的绘制；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具备生物发光及荧光二维成像功能和生物发光三维成像功能及荧光三维成像功能；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具备高品质成像暗箱，避免仪器背景信号的过多产生；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仪器具备定时自检功能，可自动去除仪器本身产生的背景信号。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图像获取及分析软件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软件包含生物发光及荧光二维及三维图像获取及数据分析模块，操作界面人性化；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具有完成生物发光及荧光二维成像、光谱分离、三维成像的智能向导功能，可简单快速的进行以上操作；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投标产品具备荧光光谱分离功能，能够进行光谱的扫描、纯光谱提取，可提供被SCI收录的证明文献2篇；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采用国际公认的定量标准，以动物体表单位时间、单位面积、单位弧度发出的光子数作为定量单位，保证在不同成像参数获得的结果一致；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成像仓内标准的气体麻醉管道，可以插入挡光隔板，进行不同小鼠的间隔，标配挡光板≥5个；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软件内置≥99种常用荧光染料光谱库，方便实验室时直接调用（提供软件光谱库截图）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具备圆形、矩形、轮廓线、不同规格微孔板等多种ROI圈选模式，用于信号的定量分析。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生物发光及荧光三维结果定量方法，能给出光学信号在体内的深度、发光体积、定位、三维发光强度等三维定量信息，并结合细胞或荧光探针的体外微孔板成像结果，给出体内发光细胞的数量或荧光探针的浓度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可输出或载入DICOM影像格式，具备完成多模式影像融合的功能，能实现三维光学影像与CT、PET、SPECT及MRI等影像结果的融合叠加，提供至少SCI两篇文献证明；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2.10 </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可通过软件记录实验相关内容，并自动添加于成像结果中，利于实验结果的管理。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要求投标型号在国内装机≥50台，投标品牌在西南地区设有办事处或分公司（提供营业执照）。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2.12 </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电脑工作平台：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操作系统：Windows 7或以上；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核心处理器：Quad Core 2.8 GHz或以上；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内存：12 GB, 1333MHz DDR3, SDRAM或以上；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显卡：2GB NVIDIA Quadro 4000 with 256 CUDA Cores或以上；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硬盘：1 TB SATA 7200 RPM或以上；显示器： 20”flat panel monitor或以上；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标配网卡及 CD/DVD 刻录光驱；标配USB 2.0接口。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动物气体麻醉系统：高度集成的一体式气体麻醉系统，蒸发罐、真空泵、流量控制、尾气吸收等装置均集成化；具备预麻醉盒，用于小鼠成像麻醉前的预麻醉；麻醉系统同时连接于预麻醉盒及成像主机；可同时麻醉5只以上小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6" w:type="pct"/>
            <w:tcBorders>
              <w:top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80" w:type="pct"/>
            <w:tcBorders>
              <w:top w:val="nil"/>
              <w:left w:val="nil"/>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仪器工作条件：工作温度范围：15℃-25℃；工作湿度范围：80% 以下；电源要求：220-240 V，50/60 Hz。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256" w:type="pct"/>
            <w:tcBorders>
              <w:top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80" w:type="pct"/>
            <w:tcBorders>
              <w:top w:val="nil"/>
              <w:lef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仪器配置清单：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活体成像暗箱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95%透光率（OD≥7）激发光滤光片 10张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95%透光率（OD≥7）发射光滤光片 19张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12位激发光转轮1套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24位发射光转轮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150W近红外增强型金属卤钨灯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＞400万像素绝对-90℃超灵敏相机 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在线数据采集软件（含99种荧光探针光谱库和光谱拆分模块）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激光三维拓扑成像组件 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数据分析工作站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三维底部投射光源1套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小动物气体麻醉机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全功能离线分析软件 4套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UPS电源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除湿机 1套</w:t>
            </w:r>
          </w:p>
        </w:tc>
      </w:tr>
    </w:tbl>
    <w:p>
      <w:pPr>
        <w:rPr>
          <w:rFonts w:hint="eastAsia"/>
          <w:lang w:eastAsia="zh-CN"/>
        </w:rPr>
      </w:pPr>
    </w:p>
    <w:p>
      <w:pPr>
        <w:jc w:val="center"/>
        <w:rPr>
          <w:rFonts w:hint="eastAsia" w:ascii="Calibri" w:hAnsi="Calibri" w:eastAsia="宋体" w:cs="Times New Roman"/>
          <w:b/>
          <w:color w:val="000000"/>
          <w:sz w:val="28"/>
          <w:szCs w:val="28"/>
          <w:u w:val="none"/>
          <w:lang w:val="en-US" w:eastAsia="zh-CN"/>
        </w:rPr>
      </w:pPr>
    </w:p>
    <w:p>
      <w:pPr>
        <w:jc w:val="center"/>
        <w:rPr>
          <w:rFonts w:hint="eastAsia" w:ascii="Calibri" w:hAnsi="Calibri" w:eastAsia="宋体" w:cs="Times New Roman"/>
          <w:b/>
          <w:color w:val="000000"/>
          <w:sz w:val="28"/>
          <w:szCs w:val="28"/>
          <w:u w:val="none"/>
          <w:lang w:val="en-US" w:eastAsia="zh-CN"/>
        </w:rPr>
      </w:pPr>
    </w:p>
    <w:p>
      <w:pPr>
        <w:jc w:val="center"/>
        <w:rPr>
          <w:rFonts w:hint="eastAsia" w:ascii="Calibri" w:hAnsi="Calibri" w:eastAsia="宋体" w:cs="Times New Roman"/>
          <w:b/>
          <w:color w:val="000000"/>
          <w:sz w:val="28"/>
          <w:szCs w:val="28"/>
          <w:u w:val="none"/>
          <w:lang w:val="en-US" w:eastAsia="zh-CN"/>
        </w:rPr>
      </w:pPr>
    </w:p>
    <w:p>
      <w:pPr>
        <w:jc w:val="center"/>
        <w:rPr>
          <w:rFonts w:hint="eastAsia" w:ascii="Calibri" w:hAnsi="Calibri" w:eastAsia="宋体" w:cs="Times New Roman"/>
          <w:b/>
          <w:color w:val="000000"/>
          <w:sz w:val="28"/>
          <w:szCs w:val="28"/>
          <w:u w:val="none"/>
          <w:lang w:val="en-US" w:eastAsia="zh-CN"/>
        </w:rPr>
      </w:pPr>
    </w:p>
    <w:p>
      <w:pPr>
        <w:jc w:val="center"/>
        <w:rPr>
          <w:rFonts w:hint="eastAsia" w:ascii="Calibri" w:hAnsi="Calibri" w:eastAsia="宋体" w:cs="Times New Roman"/>
          <w:b/>
          <w:color w:val="000000"/>
          <w:sz w:val="28"/>
          <w:szCs w:val="28"/>
          <w:u w:val="none"/>
          <w:lang w:val="en-US" w:eastAsia="zh-CN"/>
        </w:rPr>
      </w:pPr>
    </w:p>
    <w:p>
      <w:pPr>
        <w:jc w:val="center"/>
        <w:rPr>
          <w:rFonts w:hint="eastAsia" w:ascii="Calibri" w:hAnsi="Calibri" w:eastAsia="宋体" w:cs="Times New Roman"/>
          <w:b/>
          <w:color w:val="000000"/>
          <w:sz w:val="28"/>
          <w:szCs w:val="28"/>
          <w:u w:val="none"/>
          <w:lang w:val="en-US" w:eastAsia="zh-CN"/>
        </w:rPr>
      </w:pPr>
    </w:p>
    <w:p>
      <w:pPr>
        <w:jc w:val="center"/>
        <w:rPr>
          <w:b/>
          <w:color w:val="000000"/>
          <w:sz w:val="28"/>
          <w:szCs w:val="28"/>
        </w:rPr>
      </w:pPr>
      <w:r>
        <w:rPr>
          <w:rFonts w:hint="eastAsia" w:ascii="Calibri" w:hAnsi="Calibri" w:eastAsia="宋体" w:cs="Times New Roman"/>
          <w:b/>
          <w:color w:val="000000"/>
          <w:sz w:val="28"/>
          <w:szCs w:val="28"/>
          <w:u w:val="none"/>
          <w:lang w:val="en-US" w:eastAsia="zh-CN"/>
        </w:rPr>
        <w:t xml:space="preserve">设备二  </w:t>
      </w:r>
      <w:r>
        <w:rPr>
          <w:rFonts w:hint="eastAsia" w:ascii="Calibri" w:hAnsi="Calibri" w:eastAsia="宋体" w:cs="Times New Roman"/>
          <w:b/>
          <w:color w:val="000000"/>
          <w:sz w:val="28"/>
          <w:szCs w:val="28"/>
          <w:u w:val="single"/>
          <w:lang w:val="en-US" w:eastAsia="zh-CN"/>
        </w:rPr>
        <w:t>1套高分辨Micro CT成像仪</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进口设备报价不含增值税和关税。</w:t>
            </w:r>
          </w:p>
        </w:tc>
      </w:tr>
    </w:tbl>
    <w:p>
      <w:pPr>
        <w:rPr>
          <w:rFonts w:hint="eastAsia"/>
          <w:lang w:eastAsia="zh-CN"/>
        </w:rPr>
      </w:pPr>
    </w:p>
    <w:tbl>
      <w:tblPr>
        <w:tblStyle w:val="9"/>
        <w:tblW w:w="10079"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798"/>
        <w:gridCol w:w="928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8" w:hRule="atLeast"/>
          <w:jc w:val="center"/>
        </w:trPr>
        <w:tc>
          <w:tcPr>
            <w:tcW w:w="0" w:type="auto"/>
            <w:tcBorders>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9281" w:type="dxa"/>
            <w:tcBorders>
              <w:left w:val="nil"/>
              <w:bottom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参数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4"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设备用途：小动物计算机断层扫描成像系统利用X-光完成的三维断层扫描成像，广泛应用于骨骼、器官、软组织、肿瘤、心血管等相关结构变化研究，疾病的临床前研究及相关药物的临床前研发。</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6"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工作条件：温度范围：15℃-25℃； 湿度范围：80% 以下； 电源要求：220-240 V，50/60 Hz。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8"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成像主机X光源最大电压≥90 KV；</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8"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X光源最大电流≥200 μA；</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8"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光源焦点尺寸≤5 μm；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6"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X探测器类型：平板探测器，探测器有效面积≥14cm x 10cm，像素≥650万；探测器最大帧频≥100 fps；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8"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仪器空间分辨率≤5 μm，需提供分辨率标准品实测图像；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8"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具备360度连续旋转扫描架构；</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6"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具备适用于小鼠的成像内仓及成像床，成像内仓直径≥38mm；具备适用于大鼠的成像内仓及成像床，成像内仓直径≥85mm；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6"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成像内仓直径≥150mm；动物床可沿轴向及径向移动，移动范围：轴向≥150 mm，径向≥10 mm；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8"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11</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单次扫描视野可灵活选择，包含直径范围8-86 mm；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8"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最高重建分辨率≤2.9 μm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8"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360度成像最短扫描时间≤4 sec；</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8"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14</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最短三维影像重建时间≤7 sec；</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8"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扫描动物的最低辐射剂量＜6 mGy；</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6"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16</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具备呼吸及心跳门控技术，能够去除由于呼吸或心跳运动导致的伪影；该模式除了兼容常规小鼠，大鼠之外，也兼容更大模型雪貂。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6"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17</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具备环状伪影去除的功能，硬件和软件可以对成像过程和图像进行优化，背景更干净。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8"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18</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具备实时观测模式；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6"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19</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具备≥5个可更换的滤片，进行成像优化，Al  0.5mm、Al 1.0mm、Al  0.5mm+Cu 0.06mm、Cu  0.1mm、Cu 0.2 mm安装后仪器自动识别，无需手动设置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8"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20</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能与光学三维影像系统联用，进行多模态成像;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8"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21</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扫描时间从4s到57min,多档可调节；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02"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22</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图像获取及分析软件：标配图像获取软件模块；标配2D及3D影像基本分析模块；配置高级分析软件，具备图像分离渲染、定量计算、视频输出等功能，兼容多种数据格式；配置骨分析模块，能够计算骨体积分数、骨小梁厚度、数量、连接度、皮质骨密度、松质骨密度等骨分析相关参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8"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图像输出文件格式至少包括DICOM、TIF、JPEG、BMP；</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4" w:hRule="atLeast"/>
          <w:jc w:val="center"/>
        </w:trPr>
        <w:tc>
          <w:tcPr>
            <w:tcW w:w="0" w:type="auto"/>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24</w:t>
            </w:r>
          </w:p>
        </w:tc>
        <w:tc>
          <w:tcPr>
            <w:tcW w:w="9281" w:type="dxa"/>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电脑工作站：操作系统：Windows 10 操作系统 （64bit），内存：128G  RAM；硬盘：512 GB M.2  NVMe SSD, and (2) 4 TB HDD,显卡： nVidia T400 16 GB, nVidia RTX A4000 16 GB (For reconstruction)，显示器：≥23.8 英寸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106" w:hRule="atLeast"/>
          <w:jc w:val="center"/>
        </w:trPr>
        <w:tc>
          <w:tcPr>
            <w:tcW w:w="0" w:type="auto"/>
            <w:tcBorders>
              <w:top w:val="nil"/>
              <w:right w:val="single" w:color="auto"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25</w:t>
            </w:r>
          </w:p>
        </w:tc>
        <w:tc>
          <w:tcPr>
            <w:tcW w:w="9281" w:type="dxa"/>
            <w:tcBorders>
              <w:top w:val="nil"/>
              <w:left w:val="nil"/>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配置要求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1）小动物计算机断层扫描成像系统主机一台（带电脑工作站）；</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2）小鼠床、大鼠床、离体样本床及适配器；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3）呼吸门控及心跳门控模块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4）装机附件套装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5）兔床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6）高级分析软件及骨分析模块</w:t>
            </w:r>
          </w:p>
        </w:tc>
      </w:tr>
    </w:tbl>
    <w:p>
      <w:pPr>
        <w:pStyle w:val="2"/>
        <w:rPr>
          <w:rFonts w:hint="eastAsia"/>
          <w:lang w:eastAsia="zh-CN"/>
        </w:rPr>
      </w:pPr>
    </w:p>
    <w:p>
      <w:pPr>
        <w:jc w:val="center"/>
        <w:rPr>
          <w:rFonts w:hint="eastAsia" w:ascii="Calibri" w:hAnsi="Calibri" w:eastAsia="宋体" w:cs="Times New Roman"/>
          <w:b/>
          <w:color w:val="000000"/>
          <w:sz w:val="28"/>
          <w:szCs w:val="28"/>
          <w:u w:val="none"/>
          <w:lang w:val="en-US" w:eastAsia="zh-CN"/>
        </w:rPr>
      </w:pPr>
    </w:p>
    <w:p>
      <w:pPr>
        <w:jc w:val="center"/>
        <w:rPr>
          <w:rFonts w:hint="eastAsia" w:ascii="Calibri" w:hAnsi="Calibri" w:eastAsia="宋体" w:cs="Times New Roman"/>
          <w:b/>
          <w:color w:val="000000"/>
          <w:sz w:val="28"/>
          <w:szCs w:val="28"/>
          <w:u w:val="none"/>
          <w:lang w:val="en-US" w:eastAsia="zh-CN"/>
        </w:rPr>
      </w:pPr>
    </w:p>
    <w:p>
      <w:pPr>
        <w:jc w:val="center"/>
        <w:rPr>
          <w:b/>
          <w:color w:val="000000"/>
          <w:sz w:val="28"/>
          <w:szCs w:val="28"/>
        </w:rPr>
      </w:pPr>
      <w:r>
        <w:rPr>
          <w:rFonts w:hint="eastAsia" w:ascii="Calibri" w:hAnsi="Calibri" w:eastAsia="宋体" w:cs="Times New Roman"/>
          <w:b/>
          <w:color w:val="000000"/>
          <w:sz w:val="28"/>
          <w:szCs w:val="28"/>
          <w:u w:val="none"/>
          <w:lang w:val="en-US" w:eastAsia="zh-CN"/>
        </w:rPr>
        <w:t>设备三  1</w:t>
      </w:r>
      <w:r>
        <w:rPr>
          <w:rFonts w:hint="eastAsia" w:ascii="Calibri" w:hAnsi="Calibri" w:eastAsia="宋体" w:cs="Times New Roman"/>
          <w:b/>
          <w:color w:val="000000"/>
          <w:sz w:val="28"/>
          <w:szCs w:val="28"/>
          <w:u w:val="single"/>
          <w:lang w:val="en-US" w:eastAsia="zh-CN"/>
        </w:rPr>
        <w:t>套切片扫描仪（带荧光）</w:t>
      </w:r>
      <w:r>
        <w:rPr>
          <w:rFonts w:hint="eastAsia" w:ascii="Calibri" w:hAnsi="Calibri" w:eastAsia="宋体" w:cs="Times New Roman"/>
          <w:b/>
          <w:color w:val="000000"/>
          <w:sz w:val="28"/>
          <w:szCs w:val="28"/>
        </w:rPr>
        <w:t>采购项目</w:t>
      </w:r>
    </w:p>
    <w:tbl>
      <w:tblPr>
        <w:tblStyle w:val="9"/>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进口设备报价不含增值税和关税。</w:t>
            </w:r>
          </w:p>
        </w:tc>
      </w:tr>
    </w:tbl>
    <w:p>
      <w:pPr>
        <w:rPr>
          <w:rFonts w:hint="eastAsia"/>
          <w:lang w:eastAsia="zh-CN"/>
        </w:rPr>
      </w:pPr>
    </w:p>
    <w:tbl>
      <w:tblPr>
        <w:tblStyle w:val="9"/>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084"/>
        <w:gridCol w:w="891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542" w:type="pct"/>
            <w:tcBorders>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highlight w:val="none"/>
              </w:rPr>
            </w:pPr>
            <w:bookmarkStart w:id="0" w:name="_GoBack"/>
            <w:r>
              <w:rPr>
                <w:rFonts w:hint="eastAsia" w:ascii="宋体" w:hAnsi="宋体" w:eastAsia="宋体" w:cs="宋体"/>
                <w:color w:val="000000"/>
                <w:kern w:val="0"/>
                <w:sz w:val="22"/>
                <w:highlight w:val="none"/>
                <w:lang w:bidi="ar"/>
              </w:rPr>
              <w:t>序号</w:t>
            </w:r>
          </w:p>
        </w:tc>
        <w:tc>
          <w:tcPr>
            <w:tcW w:w="4457" w:type="pct"/>
            <w:tcBorders>
              <w:left w:val="nil"/>
              <w:bottom w:val="single" w:color="auto" w:sz="4" w:space="0"/>
            </w:tcBorders>
            <w:shd w:val="clear" w:color="auto" w:fill="auto"/>
            <w:vAlign w:val="center"/>
          </w:tcPr>
          <w:p>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参数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0" w:hRule="atLeast"/>
        </w:trPr>
        <w:tc>
          <w:tcPr>
            <w:tcW w:w="542" w:type="pct"/>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1</w:t>
            </w:r>
          </w:p>
        </w:tc>
        <w:tc>
          <w:tcPr>
            <w:tcW w:w="4457" w:type="pct"/>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　扫描仪主机：主机采用封闭式箱体式设计，必须满足明场、荧光、偏光、暗场成像功能，以满足更多样本如细胞、骨骼、牙齿、胶原纤维以及不透明样本的扫描要求；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80" w:hRule="atLeast"/>
        </w:trPr>
        <w:tc>
          <w:tcPr>
            <w:tcW w:w="542" w:type="pct"/>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2</w:t>
            </w:r>
          </w:p>
        </w:tc>
        <w:tc>
          <w:tcPr>
            <w:tcW w:w="4457" w:type="pct"/>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荧光通道：全电动荧光滤镜组转盘≥8孔位，可同时安装≥7通道荧光滤色镜，可由软件控制自动切换荧光滤色镜；配备带通荧光滤色镜：DAPI、eGFP、Cy3、mcherry、CY5。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trPr>
        <w:tc>
          <w:tcPr>
            <w:tcW w:w="542" w:type="pct"/>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3</w:t>
            </w:r>
          </w:p>
        </w:tc>
        <w:tc>
          <w:tcPr>
            <w:tcW w:w="4457" w:type="pct"/>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多相机配置：可同时安装相机数量≥2个，各种相机之间电动切换；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trPr>
        <w:tc>
          <w:tcPr>
            <w:tcW w:w="542" w:type="pct"/>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4</w:t>
            </w:r>
          </w:p>
        </w:tc>
        <w:tc>
          <w:tcPr>
            <w:tcW w:w="4457" w:type="pct"/>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黑白相机：芯片尺寸≥1英寸；物理像素≥500万像素；速度≥30fps；制冷温度：低于环境温度18°C；</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trPr>
        <w:tc>
          <w:tcPr>
            <w:tcW w:w="542" w:type="pct"/>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5</w:t>
            </w:r>
          </w:p>
        </w:tc>
        <w:tc>
          <w:tcPr>
            <w:tcW w:w="4457" w:type="pct"/>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彩色相机：物理分辨率≥500万像素；感光芯片尺寸≥2/3英寸；拍摄速度≥50 幅/秒；制冷温度：低于环境温度18°C；</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trPr>
        <w:tc>
          <w:tcPr>
            <w:tcW w:w="542" w:type="pct"/>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6</w:t>
            </w:r>
          </w:p>
        </w:tc>
        <w:tc>
          <w:tcPr>
            <w:tcW w:w="4457" w:type="pct"/>
            <w:tcBorders>
              <w:top w:val="nil"/>
              <w:left w:val="nil"/>
              <w:bottom w:val="nil"/>
            </w:tcBorders>
            <w:shd w:val="clear" w:color="auto" w:fill="auto"/>
            <w:vAlign w:val="center"/>
          </w:tcPr>
          <w:p>
            <w:pPr>
              <w:widowControl/>
              <w:jc w:val="left"/>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聚光镜：长工作距离电动聚光镜1个，数值孔径≥0.8，兼容强度传输方程成像模式；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90" w:hRule="atLeast"/>
        </w:trPr>
        <w:tc>
          <w:tcPr>
            <w:tcW w:w="542" w:type="pct"/>
            <w:tcBorders>
              <w:top w:val="nil"/>
              <w:bottom w:val="single" w:color="auto" w:sz="4" w:space="0"/>
              <w:right w:val="nil"/>
            </w:tcBorders>
            <w:shd w:val="clear" w:color="auto" w:fill="auto"/>
            <w:vAlign w:val="center"/>
          </w:tcPr>
          <w:p>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7</w:t>
            </w:r>
          </w:p>
        </w:tc>
        <w:tc>
          <w:tcPr>
            <w:tcW w:w="4457" w:type="pct"/>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hint="eastAsia" w:ascii="宋体" w:hAnsi="宋体" w:eastAsia="宋体" w:cs="宋体"/>
                <w:color w:val="000000"/>
                <w:sz w:val="22"/>
                <w:highlight w:val="none"/>
              </w:rPr>
            </w:pPr>
            <w:r>
              <w:rPr>
                <w:rFonts w:hint="eastAsia" w:ascii="宋体" w:hAnsi="宋体" w:eastAsia="宋体" w:cs="宋体"/>
                <w:color w:val="000000"/>
                <w:sz w:val="22"/>
                <w:highlight w:val="none"/>
              </w:rPr>
              <w:t>物镜，视野数≥26：</w:t>
            </w:r>
          </w:p>
          <w:p>
            <w:pPr>
              <w:widowControl/>
              <w:jc w:val="left"/>
              <w:textAlignment w:val="center"/>
              <w:rPr>
                <w:rFonts w:ascii="宋体" w:hAnsi="宋体" w:eastAsia="宋体" w:cs="宋体"/>
                <w:color w:val="000000"/>
                <w:sz w:val="22"/>
                <w:highlight w:val="none"/>
              </w:rPr>
            </w:pPr>
            <w:r>
              <w:rPr>
                <w:rFonts w:ascii="宋体" w:hAnsi="宋体" w:eastAsia="宋体" w:cs="宋体"/>
                <w:color w:val="000000"/>
                <w:sz w:val="22"/>
                <w:highlight w:val="none"/>
              </w:rPr>
              <w:t>4X/5X</w:t>
            </w:r>
            <w:r>
              <w:rPr>
                <w:rFonts w:hint="eastAsia" w:ascii="宋体" w:hAnsi="宋体" w:eastAsia="宋体" w:cs="宋体"/>
                <w:color w:val="000000"/>
                <w:sz w:val="22"/>
                <w:highlight w:val="none"/>
              </w:rPr>
              <w:t>高透过率物镜，数值孔径≥</w:t>
            </w:r>
            <w:r>
              <w:rPr>
                <w:rFonts w:ascii="宋体" w:hAnsi="宋体" w:eastAsia="宋体" w:cs="宋体"/>
                <w:color w:val="000000"/>
                <w:sz w:val="22"/>
                <w:highlight w:val="none"/>
              </w:rPr>
              <w:t>0.16</w:t>
            </w:r>
            <w:r>
              <w:rPr>
                <w:rFonts w:hint="eastAsia" w:ascii="宋体" w:hAnsi="宋体" w:eastAsia="宋体" w:cs="宋体"/>
                <w:color w:val="000000"/>
                <w:sz w:val="22"/>
                <w:highlight w:val="none"/>
              </w:rPr>
              <w:t>，工作距离</w:t>
            </w:r>
            <w:r>
              <w:rPr>
                <w:rFonts w:ascii="Cambria Math" w:hAnsi="Cambria Math" w:eastAsia="宋体" w:cs="Cambria Math"/>
                <w:color w:val="000000"/>
                <w:sz w:val="22"/>
                <w:highlight w:val="none"/>
              </w:rPr>
              <w:t>⩾</w:t>
            </w:r>
            <w:r>
              <w:rPr>
                <w:rFonts w:ascii="宋体" w:hAnsi="宋体" w:eastAsia="宋体" w:cs="宋体"/>
                <w:color w:val="000000"/>
                <w:sz w:val="22"/>
                <w:highlight w:val="none"/>
              </w:rPr>
              <w:t>13mm</w:t>
            </w:r>
            <w:r>
              <w:rPr>
                <w:rFonts w:hint="eastAsia" w:ascii="宋体" w:hAnsi="宋体" w:eastAsia="宋体" w:cs="宋体"/>
                <w:color w:val="000000"/>
                <w:sz w:val="22"/>
                <w:highlight w:val="none"/>
              </w:rPr>
              <w:t>；</w:t>
            </w:r>
          </w:p>
          <w:p>
            <w:pPr>
              <w:widowControl/>
              <w:jc w:val="left"/>
              <w:textAlignment w:val="center"/>
              <w:rPr>
                <w:rFonts w:ascii="宋体" w:hAnsi="宋体" w:eastAsia="宋体" w:cs="宋体"/>
                <w:color w:val="000000"/>
                <w:sz w:val="22"/>
                <w:highlight w:val="none"/>
              </w:rPr>
            </w:pPr>
            <w:r>
              <w:rPr>
                <w:rFonts w:ascii="宋体" w:hAnsi="宋体" w:eastAsia="宋体" w:cs="宋体"/>
                <w:color w:val="000000"/>
                <w:sz w:val="22"/>
                <w:highlight w:val="none"/>
              </w:rPr>
              <w:t>10x</w:t>
            </w:r>
            <w:r>
              <w:rPr>
                <w:rFonts w:hint="eastAsia" w:ascii="宋体" w:hAnsi="宋体" w:eastAsia="宋体" w:cs="宋体"/>
                <w:color w:val="000000"/>
                <w:sz w:val="22"/>
                <w:highlight w:val="none"/>
              </w:rPr>
              <w:t>平场复消色差物镜，数值孔径≥</w:t>
            </w:r>
            <w:r>
              <w:rPr>
                <w:rFonts w:ascii="宋体" w:hAnsi="宋体" w:eastAsia="宋体" w:cs="宋体"/>
                <w:color w:val="000000"/>
                <w:sz w:val="22"/>
                <w:highlight w:val="none"/>
              </w:rPr>
              <w:t>0.4</w:t>
            </w:r>
            <w:r>
              <w:rPr>
                <w:rFonts w:hint="eastAsia" w:ascii="宋体" w:hAnsi="宋体" w:eastAsia="宋体" w:cs="宋体"/>
                <w:color w:val="000000"/>
                <w:sz w:val="22"/>
                <w:highlight w:val="none"/>
              </w:rPr>
              <w:t>，工作距离</w:t>
            </w:r>
            <w:r>
              <w:rPr>
                <w:rFonts w:ascii="Cambria Math" w:hAnsi="Cambria Math" w:eastAsia="宋体" w:cs="Cambria Math"/>
                <w:color w:val="000000"/>
                <w:sz w:val="22"/>
                <w:highlight w:val="none"/>
              </w:rPr>
              <w:t>⩾</w:t>
            </w:r>
            <w:r>
              <w:rPr>
                <w:rFonts w:ascii="宋体" w:hAnsi="宋体" w:eastAsia="宋体" w:cs="宋体"/>
                <w:color w:val="000000"/>
                <w:sz w:val="22"/>
                <w:highlight w:val="none"/>
              </w:rPr>
              <w:t>3.0mm</w:t>
            </w:r>
            <w:r>
              <w:rPr>
                <w:rFonts w:hint="eastAsia" w:ascii="宋体" w:hAnsi="宋体" w:eastAsia="宋体" w:cs="宋体"/>
                <w:color w:val="000000"/>
                <w:sz w:val="22"/>
                <w:highlight w:val="none"/>
              </w:rPr>
              <w:t>；</w:t>
            </w:r>
          </w:p>
          <w:p>
            <w:pPr>
              <w:widowControl/>
              <w:jc w:val="left"/>
              <w:textAlignment w:val="center"/>
              <w:rPr>
                <w:rFonts w:ascii="宋体" w:hAnsi="宋体" w:eastAsia="宋体" w:cs="宋体"/>
                <w:color w:val="000000"/>
                <w:sz w:val="22"/>
                <w:highlight w:val="none"/>
              </w:rPr>
            </w:pPr>
            <w:r>
              <w:rPr>
                <w:rFonts w:hint="eastAsia" w:ascii="宋体" w:hAnsi="宋体" w:eastAsia="宋体" w:cs="宋体"/>
                <w:color w:val="000000"/>
                <w:sz w:val="22"/>
                <w:highlight w:val="none"/>
              </w:rPr>
              <w:t>20x平场复消色差物镜（空气镜），数值孔径≥0.8，工作距离≥0.60mm；</w:t>
            </w:r>
          </w:p>
          <w:p>
            <w:pPr>
              <w:widowControl/>
              <w:jc w:val="left"/>
              <w:textAlignment w:val="center"/>
              <w:rPr>
                <w:rFonts w:hint="eastAsia" w:ascii="宋体" w:hAnsi="宋体" w:eastAsia="宋体" w:cs="宋体"/>
                <w:color w:val="000000"/>
                <w:sz w:val="22"/>
                <w:highlight w:val="none"/>
              </w:rPr>
            </w:pPr>
            <w:r>
              <w:rPr>
                <w:rFonts w:hint="eastAsia" w:ascii="宋体" w:hAnsi="宋体" w:eastAsia="宋体" w:cs="宋体"/>
                <w:color w:val="000000"/>
                <w:sz w:val="22"/>
                <w:highlight w:val="none"/>
              </w:rPr>
              <w:t>40x平场复消色差物镜（空气镜），数值孔径≥0.95，工作距离≥0.18mm；</w:t>
            </w:r>
          </w:p>
          <w:p>
            <w:pPr>
              <w:widowControl/>
              <w:jc w:val="left"/>
              <w:textAlignment w:val="center"/>
              <w:rPr>
                <w:rFonts w:ascii="宋体" w:hAnsi="宋体" w:eastAsia="宋体" w:cs="宋体"/>
                <w:color w:val="000000"/>
                <w:sz w:val="22"/>
                <w:highlight w:val="none"/>
              </w:rPr>
            </w:pPr>
            <w:r>
              <w:rPr>
                <w:rFonts w:hint="eastAsia" w:ascii="宋体" w:hAnsi="宋体" w:eastAsia="宋体" w:cs="宋体"/>
                <w:color w:val="000000"/>
                <w:sz w:val="22"/>
                <w:highlight w:val="none"/>
              </w:rPr>
              <w:t>可升级油镜及内置自动加油装置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trPr>
        <w:tc>
          <w:tcPr>
            <w:tcW w:w="542" w:type="pct"/>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8</w:t>
            </w:r>
          </w:p>
        </w:tc>
        <w:tc>
          <w:tcPr>
            <w:tcW w:w="4457" w:type="pct"/>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扫描像素分辨率：10X≤0.4 μm/pixel；20X≤0.2 μm/pixel；40X≤0.1 μm/pixel；</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trPr>
        <w:tc>
          <w:tcPr>
            <w:tcW w:w="542" w:type="pct"/>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9</w:t>
            </w:r>
          </w:p>
        </w:tc>
        <w:tc>
          <w:tcPr>
            <w:tcW w:w="4457" w:type="pct"/>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样本夹尺寸：兼容多种规格的玻片：26 mm×77 mm，52 mm×77 mm，102 mm×127 mm，102mm×77mm。不同玻片厚度兼容范围为不低于0.9 mm至1.3mm；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542" w:type="pct"/>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10</w:t>
            </w:r>
          </w:p>
        </w:tc>
        <w:tc>
          <w:tcPr>
            <w:tcW w:w="4457" w:type="pct"/>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上样通量：单个托盘上样通量≥6个，后期可原机升级≥120个；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trPr>
        <w:tc>
          <w:tcPr>
            <w:tcW w:w="542" w:type="pct"/>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11</w:t>
            </w:r>
          </w:p>
        </w:tc>
        <w:tc>
          <w:tcPr>
            <w:tcW w:w="4457" w:type="pct"/>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荧光光源：长寿命LED荧光光源，使用寿命≥18000小时以上；20X四通道荧光成像扫描时间≤220秒（每个通道10ms曝光，15mm×15mm扫描区域）；荧光激发光谱范围窄，不同通道间无串色；</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trPr>
        <w:tc>
          <w:tcPr>
            <w:tcW w:w="542" w:type="pct"/>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12</w:t>
            </w:r>
          </w:p>
        </w:tc>
        <w:tc>
          <w:tcPr>
            <w:tcW w:w="4457" w:type="pct"/>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上样方式：托盘式样品架设计，保证每张玻片相互隔离，待机和扫描时始终保持水平状态；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80" w:hRule="atLeast"/>
        </w:trPr>
        <w:tc>
          <w:tcPr>
            <w:tcW w:w="542" w:type="pct"/>
            <w:tcBorders>
              <w:top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13</w:t>
            </w:r>
          </w:p>
        </w:tc>
        <w:tc>
          <w:tcPr>
            <w:tcW w:w="4457" w:type="pct"/>
            <w:tcBorders>
              <w:top w:val="nil"/>
              <w:left w:val="nil"/>
              <w:bottom w:val="single" w:color="auto" w:sz="4" w:space="0"/>
            </w:tcBorders>
            <w:shd w:val="clear" w:color="auto" w:fill="auto"/>
            <w:vAlign w:val="center"/>
          </w:tcPr>
          <w:p>
            <w:pPr>
              <w:widowControl/>
              <w:jc w:val="left"/>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扫描软件：全自动智能化识别及扫描样品，可快速完成载玻片扫描；图像采集：具有预扫描和导航功能；多维图像采集，多通道成像，Z-Stacks成像，拼图及多点成像功能；多种聚焦策略的选择，以满足不同类型样品的大视野拼图；z-stack及景深扩展功能，无层数限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0" w:hRule="atLeast"/>
        </w:trPr>
        <w:tc>
          <w:tcPr>
            <w:tcW w:w="542" w:type="pct"/>
            <w:tcBorders>
              <w:top w:val="nil"/>
              <w:right w:val="single" w:color="auto" w:sz="4" w:space="0"/>
            </w:tcBorders>
            <w:shd w:val="clear" w:color="auto" w:fill="auto"/>
            <w:vAlign w:val="center"/>
          </w:tcPr>
          <w:p>
            <w:pPr>
              <w:widowControl/>
              <w:jc w:val="center"/>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14</w:t>
            </w:r>
          </w:p>
        </w:tc>
        <w:tc>
          <w:tcPr>
            <w:tcW w:w="4457" w:type="pct"/>
            <w:tcBorders>
              <w:top w:val="nil"/>
              <w:left w:val="nil"/>
            </w:tcBorders>
            <w:shd w:val="clear" w:color="auto" w:fill="auto"/>
            <w:vAlign w:val="center"/>
          </w:tcPr>
          <w:p>
            <w:pPr>
              <w:widowControl/>
              <w:jc w:val="left"/>
              <w:textAlignment w:val="center"/>
              <w:rPr>
                <w:rFonts w:ascii="宋体" w:hAnsi="宋体" w:eastAsia="宋体" w:cs="宋体"/>
                <w:color w:val="000000"/>
                <w:sz w:val="22"/>
                <w:highlight w:val="none"/>
              </w:rPr>
            </w:pPr>
            <w:r>
              <w:rPr>
                <w:rFonts w:hint="eastAsia" w:ascii="宋体" w:hAnsi="宋体" w:eastAsia="宋体" w:cs="宋体"/>
                <w:color w:val="000000"/>
                <w:kern w:val="0"/>
                <w:sz w:val="22"/>
                <w:highlight w:val="none"/>
                <w:lang w:bidi="ar"/>
              </w:rPr>
              <w:t>扫描控制分析工作站1台，配置不低于：Intel® Xeon Gold 8核处理器，主频3.3 GHz；64GB内存，24GB独立显卡，2TB固态硬盘，27英寸液晶显示器，Windows 10 x64操作系统。</w:t>
            </w:r>
          </w:p>
        </w:tc>
      </w:tr>
      <w:bookmarkEnd w:id="0"/>
    </w:tbl>
    <w:p>
      <w:pPr>
        <w:pStyle w:val="2"/>
        <w:rPr>
          <w:rFonts w:hint="eastAsia"/>
          <w:lang w:eastAsia="zh-CN"/>
        </w:rPr>
      </w:pPr>
    </w:p>
    <w:p>
      <w:pPr>
        <w:pStyle w:val="2"/>
        <w:rPr>
          <w:rFonts w:hint="eastAsia"/>
          <w:lang w:eastAsia="zh-CN"/>
        </w:rPr>
      </w:pPr>
    </w:p>
    <w:p>
      <w:pPr>
        <w:rPr>
          <w:rFonts w:hint="eastAsia"/>
          <w:lang w:eastAsia="zh-CN"/>
        </w:rPr>
      </w:pPr>
      <w:r>
        <w:rPr>
          <w:rFonts w:hint="eastAsia" w:ascii="Calibri" w:hAnsi="Calibri" w:eastAsia="宋体" w:cs="Times New Roman"/>
          <w:b/>
          <w:color w:val="000000"/>
          <w:sz w:val="28"/>
          <w:szCs w:val="28"/>
          <w:lang w:val="en-US" w:eastAsia="zh-CN"/>
        </w:rPr>
        <w:t xml:space="preserve"> </w:t>
      </w: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d0bef9b3-e57e-47c3-b14c-39c2c43f5fa8"/>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2E51C21"/>
    <w:rsid w:val="03C216AE"/>
    <w:rsid w:val="088B3073"/>
    <w:rsid w:val="0A38044E"/>
    <w:rsid w:val="105765E1"/>
    <w:rsid w:val="11E46932"/>
    <w:rsid w:val="15962639"/>
    <w:rsid w:val="18990280"/>
    <w:rsid w:val="194F58BE"/>
    <w:rsid w:val="19BE5CBA"/>
    <w:rsid w:val="1B300109"/>
    <w:rsid w:val="1EE15908"/>
    <w:rsid w:val="27BB7BC4"/>
    <w:rsid w:val="2F1C1962"/>
    <w:rsid w:val="33020198"/>
    <w:rsid w:val="375C6DE7"/>
    <w:rsid w:val="38635F53"/>
    <w:rsid w:val="43BD084E"/>
    <w:rsid w:val="4B300B57"/>
    <w:rsid w:val="5AD00FA7"/>
    <w:rsid w:val="60701C05"/>
    <w:rsid w:val="64C50CB4"/>
    <w:rsid w:val="64C51278"/>
    <w:rsid w:val="6ABE0C43"/>
    <w:rsid w:val="6D4713C4"/>
    <w:rsid w:val="6FEA072C"/>
    <w:rsid w:val="710C1EC5"/>
    <w:rsid w:val="74A565C1"/>
    <w:rsid w:val="770C0F88"/>
    <w:rsid w:val="773E7889"/>
    <w:rsid w:val="77F734C0"/>
    <w:rsid w:val="7B761A97"/>
    <w:rsid w:val="7CC9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0"/>
      </w:numPr>
      <w:spacing w:line="360" w:lineRule="auto"/>
      <w:outlineLvl w:val="0"/>
    </w:pPr>
    <w:rPr>
      <w:rFonts w:ascii="宋体" w:hAnsi="宋体" w:cs="Times New Roman"/>
      <w:color w:val="000000"/>
      <w:kern w:val="44"/>
      <w:sz w:val="28"/>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
    <w:name w:val="Body Text"/>
    <w:basedOn w:val="1"/>
    <w:link w:val="21"/>
    <w:unhideWhenUsed/>
    <w:qFormat/>
    <w:uiPriority w:val="99"/>
    <w:pPr>
      <w:snapToGrid w:val="0"/>
      <w:spacing w:line="440" w:lineRule="exact"/>
    </w:pPr>
    <w:rPr>
      <w:rFonts w:ascii="Times New Roman" w:hAnsi="Times New Roman" w:eastAsia="宋体" w:cs="Times New Roman"/>
      <w:kern w:val="0"/>
      <w:sz w:val="20"/>
      <w:szCs w:val="20"/>
    </w:rPr>
  </w:style>
  <w:style w:type="paragraph" w:styleId="5">
    <w:name w:val="Body Text Indent"/>
    <w:basedOn w:val="1"/>
    <w:link w:val="17"/>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6">
    <w:name w:val="Plain Text"/>
    <w:basedOn w:val="1"/>
    <w:link w:val="20"/>
    <w:qFormat/>
    <w:uiPriority w:val="0"/>
    <w:rPr>
      <w:rFonts w:ascii="宋体" w:hAnsi="Courier New" w:eastAsia="宋体" w:cs="Times New Roman"/>
      <w:szCs w:val="20"/>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color w:val="0000FF"/>
      <w:u w:val="single"/>
    </w:rPr>
  </w:style>
  <w:style w:type="character" w:customStyle="1" w:styleId="14">
    <w:name w:val="页眉 Char"/>
    <w:basedOn w:val="11"/>
    <w:link w:val="8"/>
    <w:semiHidden/>
    <w:qFormat/>
    <w:uiPriority w:val="99"/>
    <w:rPr>
      <w:sz w:val="18"/>
      <w:szCs w:val="18"/>
    </w:rPr>
  </w:style>
  <w:style w:type="character" w:customStyle="1" w:styleId="15">
    <w:name w:val="页脚 Char"/>
    <w:basedOn w:val="11"/>
    <w:link w:val="7"/>
    <w:semiHidden/>
    <w:qFormat/>
    <w:uiPriority w:val="99"/>
    <w:rPr>
      <w:sz w:val="18"/>
      <w:szCs w:val="18"/>
    </w:rPr>
  </w:style>
  <w:style w:type="character" w:customStyle="1" w:styleId="16">
    <w:name w:val="正文文本缩进 Char"/>
    <w:basedOn w:val="11"/>
    <w:link w:val="5"/>
    <w:qFormat/>
    <w:uiPriority w:val="0"/>
    <w:rPr>
      <w:rFonts w:ascii="宋体" w:hAnsi="宋体" w:eastAsia="宋体" w:cs="Times New Roman"/>
      <w:sz w:val="28"/>
      <w:szCs w:val="24"/>
    </w:rPr>
  </w:style>
  <w:style w:type="character" w:customStyle="1" w:styleId="17">
    <w:name w:val="正文文本缩进 Char1"/>
    <w:basedOn w:val="11"/>
    <w:link w:val="5"/>
    <w:semiHidden/>
    <w:qFormat/>
    <w:uiPriority w:val="99"/>
  </w:style>
  <w:style w:type="character" w:customStyle="1" w:styleId="18">
    <w:name w:val="font11"/>
    <w:basedOn w:val="11"/>
    <w:qFormat/>
    <w:uiPriority w:val="0"/>
    <w:rPr>
      <w:rFonts w:hint="eastAsia" w:ascii="宋体" w:hAnsi="宋体" w:eastAsia="宋体" w:cs="宋体"/>
      <w:color w:val="000000"/>
      <w:sz w:val="24"/>
      <w:szCs w:val="24"/>
      <w:u w:val="none"/>
    </w:rPr>
  </w:style>
  <w:style w:type="character" w:customStyle="1" w:styleId="19">
    <w:name w:val="font21"/>
    <w:basedOn w:val="11"/>
    <w:qFormat/>
    <w:uiPriority w:val="0"/>
    <w:rPr>
      <w:rFonts w:hint="eastAsia" w:ascii="宋体" w:hAnsi="宋体" w:eastAsia="宋体" w:cs="宋体"/>
      <w:b/>
      <w:bCs/>
      <w:color w:val="000000"/>
      <w:sz w:val="24"/>
      <w:szCs w:val="24"/>
      <w:u w:val="none"/>
    </w:rPr>
  </w:style>
  <w:style w:type="character" w:customStyle="1" w:styleId="20">
    <w:name w:val="纯文本 Char"/>
    <w:basedOn w:val="11"/>
    <w:link w:val="6"/>
    <w:qFormat/>
    <w:uiPriority w:val="0"/>
    <w:rPr>
      <w:rFonts w:ascii="宋体" w:hAnsi="Courier New" w:eastAsia="宋体" w:cs="Times New Roman"/>
      <w:szCs w:val="20"/>
    </w:rPr>
  </w:style>
  <w:style w:type="character" w:customStyle="1" w:styleId="21">
    <w:name w:val="正文文本 Char"/>
    <w:basedOn w:val="11"/>
    <w:link w:val="4"/>
    <w:qFormat/>
    <w:uiPriority w:val="99"/>
    <w:rPr>
      <w:rFonts w:ascii="Times New Roman" w:hAnsi="Times New Roman" w:eastAsia="宋体" w:cs="Times New Roman"/>
      <w:kern w:val="0"/>
      <w:sz w:val="20"/>
      <w:szCs w:val="20"/>
    </w:rPr>
  </w:style>
  <w:style w:type="character" w:customStyle="1" w:styleId="22">
    <w:name w:val="font41"/>
    <w:basedOn w:val="11"/>
    <w:qFormat/>
    <w:uiPriority w:val="0"/>
    <w:rPr>
      <w:rFonts w:hint="default" w:ascii="Times New Roman" w:hAnsi="Times New Roman" w:cs="Times New Roman"/>
      <w:color w:val="000000"/>
      <w:sz w:val="20"/>
      <w:szCs w:val="20"/>
      <w:u w:val="none"/>
    </w:rPr>
  </w:style>
  <w:style w:type="character" w:customStyle="1" w:styleId="23">
    <w:name w:val="font31"/>
    <w:basedOn w:val="11"/>
    <w:qFormat/>
    <w:uiPriority w:val="0"/>
    <w:rPr>
      <w:rFonts w:hint="eastAsia" w:ascii="宋体" w:hAnsi="宋体" w:eastAsia="宋体" w:cs="宋体"/>
      <w:color w:val="000000"/>
      <w:sz w:val="20"/>
      <w:szCs w:val="20"/>
      <w:u w:val="none"/>
    </w:rPr>
  </w:style>
  <w:style w:type="paragraph" w:styleId="24">
    <w:name w:val="List Paragraph"/>
    <w:basedOn w:val="1"/>
    <w:qFormat/>
    <w:uiPriority w:val="34"/>
    <w:pPr>
      <w:ind w:firstLine="420" w:firstLineChars="200"/>
    </w:pPr>
    <w:rPr>
      <w:rFonts w:ascii="仿宋" w:hAnsi="仿宋" w:eastAsia="仿宋" w:cs="Times New Roman"/>
      <w:szCs w:val="24"/>
    </w:rPr>
  </w:style>
  <w:style w:type="character" w:customStyle="1" w:styleId="25">
    <w:name w:val="fontstyle01"/>
    <w:basedOn w:val="11"/>
    <w:qFormat/>
    <w:uiPriority w:val="0"/>
    <w:rPr>
      <w:rFonts w:hint="eastAsia" w:ascii="宋体" w:hAnsi="宋体" w:eastAsia="宋体"/>
      <w:color w:val="000000"/>
      <w:sz w:val="18"/>
      <w:szCs w:val="18"/>
    </w:rPr>
  </w:style>
  <w:style w:type="character" w:customStyle="1" w:styleId="26">
    <w:name w:val="font71"/>
    <w:basedOn w:val="11"/>
    <w:qFormat/>
    <w:uiPriority w:val="0"/>
    <w:rPr>
      <w:rFonts w:hint="default" w:ascii="Times New Roman" w:hAnsi="Times New Roman" w:cs="Times New Roman"/>
      <w:color w:val="000000"/>
      <w:sz w:val="16"/>
      <w:szCs w:val="16"/>
      <w:u w:val="none"/>
    </w:rPr>
  </w:style>
  <w:style w:type="character" w:customStyle="1" w:styleId="27">
    <w:name w:val="font61"/>
    <w:basedOn w:val="11"/>
    <w:qFormat/>
    <w:uiPriority w:val="0"/>
    <w:rPr>
      <w:rFonts w:hint="eastAsia" w:ascii="宋体" w:hAnsi="宋体" w:eastAsia="宋体" w:cs="宋体"/>
      <w:color w:val="000000"/>
      <w:sz w:val="16"/>
      <w:szCs w:val="16"/>
      <w:u w:val="none"/>
    </w:rPr>
  </w:style>
  <w:style w:type="character" w:customStyle="1" w:styleId="28">
    <w:name w:val="font81"/>
    <w:basedOn w:val="11"/>
    <w:qFormat/>
    <w:uiPriority w:val="0"/>
    <w:rPr>
      <w:rFonts w:ascii="sans-serif" w:hAnsi="sans-serif" w:eastAsia="sans-serif" w:cs="sans-serif"/>
      <w:color w:val="000000"/>
      <w:sz w:val="22"/>
      <w:szCs w:val="22"/>
      <w:u w:val="none"/>
    </w:rPr>
  </w:style>
  <w:style w:type="character" w:customStyle="1" w:styleId="29">
    <w:name w:val="font91"/>
    <w:basedOn w:val="11"/>
    <w:qFormat/>
    <w:uiPriority w:val="0"/>
    <w:rPr>
      <w:rFonts w:hint="default" w:ascii="sans-serif" w:hAnsi="sans-serif" w:eastAsia="sans-serif" w:cs="sans-serif"/>
      <w:color w:val="000000"/>
      <w:sz w:val="22"/>
      <w:szCs w:val="22"/>
      <w:u w:val="none"/>
    </w:rPr>
  </w:style>
  <w:style w:type="character" w:customStyle="1" w:styleId="30">
    <w:name w:val="font1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6</Pages>
  <Words>4122</Words>
  <Characters>4936</Characters>
  <Lines>7</Lines>
  <Paragraphs>2</Paragraphs>
  <TotalTime>0</TotalTime>
  <ScaleCrop>false</ScaleCrop>
  <LinksUpToDate>false</LinksUpToDate>
  <CharactersWithSpaces>5228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2024-10-08T08:17:22Z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EA1225EF2D244196BCE540030770F0FF_13</vt:lpwstr>
  </property>
</Properties>
</file>