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Ansi="宋体" w:cs="宋体"/>
          <w:sz w:val="28"/>
          <w:szCs w:val="28"/>
          <w:highlight w:val="none"/>
        </w:rPr>
      </w:pPr>
      <w:bookmarkStart w:id="0" w:name="_Toc287602110"/>
    </w:p>
    <w:p>
      <w:pPr>
        <w:spacing w:line="360" w:lineRule="auto"/>
        <w:jc w:val="center"/>
        <w:outlineLvl w:val="0"/>
        <w:rPr>
          <w:rFonts w:hAnsi="宋体" w:cs="宋体"/>
          <w:sz w:val="28"/>
          <w:szCs w:val="28"/>
          <w:highlight w:val="none"/>
        </w:rPr>
      </w:pPr>
    </w:p>
    <w:p>
      <w:pPr>
        <w:spacing w:line="360" w:lineRule="auto"/>
        <w:jc w:val="center"/>
        <w:rPr>
          <w:rFonts w:hint="eastAsia" w:hAnsi="宋体" w:eastAsia="宋体" w:cs="宋体"/>
          <w:sz w:val="160"/>
          <w:szCs w:val="160"/>
          <w:highlight w:val="none"/>
          <w:lang w:eastAsia="zh-CN"/>
        </w:rPr>
      </w:pPr>
      <w:r>
        <w:rPr>
          <w:rFonts w:hint="eastAsia" w:hAnsi="宋体" w:cs="宋体"/>
          <w:sz w:val="160"/>
          <w:szCs w:val="160"/>
          <w:highlight w:val="none"/>
          <w:lang w:eastAsia="zh-CN"/>
        </w:rPr>
        <w:t>竞争性比选文件</w:t>
      </w:r>
    </w:p>
    <w:p>
      <w:pPr>
        <w:spacing w:line="360" w:lineRule="auto"/>
        <w:jc w:val="center"/>
        <w:rPr>
          <w:rFonts w:hAnsi="宋体" w:cs="宋体"/>
          <w:sz w:val="28"/>
          <w:szCs w:val="28"/>
          <w:highlight w:val="none"/>
        </w:rPr>
      </w:pPr>
    </w:p>
    <w:p>
      <w:pPr>
        <w:spacing w:line="360" w:lineRule="auto"/>
        <w:jc w:val="center"/>
        <w:rPr>
          <w:rFonts w:hAnsi="宋体" w:cs="宋体"/>
          <w:sz w:val="28"/>
          <w:szCs w:val="28"/>
          <w:highlight w:val="none"/>
        </w:rPr>
      </w:pPr>
    </w:p>
    <w:p>
      <w:pPr>
        <w:spacing w:line="360" w:lineRule="auto"/>
        <w:jc w:val="center"/>
        <w:rPr>
          <w:rFonts w:hAnsi="宋体" w:cs="宋体"/>
          <w:sz w:val="28"/>
          <w:szCs w:val="28"/>
          <w:highlight w:val="none"/>
        </w:rPr>
      </w:pPr>
    </w:p>
    <w:p>
      <w:pPr>
        <w:spacing w:line="360" w:lineRule="auto"/>
        <w:jc w:val="center"/>
        <w:rPr>
          <w:rFonts w:hAnsi="宋体" w:cs="宋体"/>
          <w:b/>
          <w:sz w:val="40"/>
          <w:szCs w:val="40"/>
          <w:highlight w:val="none"/>
        </w:rPr>
      </w:pPr>
      <w:bookmarkStart w:id="1" w:name="_Toc19113853"/>
      <w:bookmarkStart w:id="2" w:name="_Toc19115519"/>
      <w:r>
        <w:rPr>
          <w:rFonts w:hint="eastAsia" w:hAnsi="宋体" w:cs="宋体"/>
          <w:b/>
          <w:sz w:val="40"/>
          <w:szCs w:val="40"/>
          <w:highlight w:val="none"/>
        </w:rPr>
        <w:t>项目名称：</w:t>
      </w:r>
      <w:bookmarkEnd w:id="1"/>
      <w:bookmarkEnd w:id="2"/>
      <w:r>
        <w:rPr>
          <w:rFonts w:hint="eastAsia" w:hAnsi="宋体" w:cs="宋体"/>
          <w:b/>
          <w:sz w:val="40"/>
          <w:szCs w:val="40"/>
          <w:highlight w:val="none"/>
        </w:rPr>
        <w:t>重庆医科大学附属口腔医院</w:t>
      </w:r>
    </w:p>
    <w:p>
      <w:pPr>
        <w:spacing w:line="360" w:lineRule="auto"/>
        <w:jc w:val="center"/>
        <w:rPr>
          <w:rFonts w:hAnsi="宋体" w:cs="宋体"/>
          <w:b/>
          <w:sz w:val="40"/>
          <w:szCs w:val="40"/>
          <w:highlight w:val="none"/>
        </w:rPr>
      </w:pPr>
      <w:r>
        <w:rPr>
          <w:rFonts w:hint="eastAsia" w:hAnsi="宋体" w:cs="宋体"/>
          <w:b/>
          <w:sz w:val="40"/>
          <w:szCs w:val="40"/>
          <w:highlight w:val="none"/>
          <w:lang w:val="en-US" w:eastAsia="zh-CN"/>
        </w:rPr>
        <w:t>医疗责任险</w:t>
      </w:r>
      <w:r>
        <w:rPr>
          <w:rFonts w:hint="eastAsia" w:hAnsi="宋体" w:cs="宋体"/>
          <w:b/>
          <w:sz w:val="40"/>
          <w:szCs w:val="40"/>
          <w:highlight w:val="none"/>
        </w:rPr>
        <w:t>采购</w:t>
      </w:r>
    </w:p>
    <w:p>
      <w:pPr>
        <w:spacing w:line="360" w:lineRule="auto"/>
        <w:ind w:firstLine="1273" w:firstLineChars="317"/>
        <w:jc w:val="left"/>
        <w:rPr>
          <w:rFonts w:hAnsi="宋体" w:cs="宋体"/>
          <w:b/>
          <w:sz w:val="40"/>
          <w:szCs w:val="40"/>
          <w:highlight w:val="none"/>
        </w:rPr>
      </w:pPr>
      <w:bookmarkStart w:id="3" w:name="_Toc19115520"/>
      <w:bookmarkStart w:id="4" w:name="_Toc19113854"/>
      <w:r>
        <w:rPr>
          <w:rFonts w:hint="eastAsia" w:hAnsi="宋体" w:cs="宋体"/>
          <w:b/>
          <w:sz w:val="40"/>
          <w:szCs w:val="40"/>
          <w:highlight w:val="none"/>
        </w:rPr>
        <w:t>项目号：KQYY202</w:t>
      </w:r>
      <w:r>
        <w:rPr>
          <w:rFonts w:hint="eastAsia" w:hAnsi="宋体" w:cs="宋体"/>
          <w:b/>
          <w:sz w:val="40"/>
          <w:szCs w:val="40"/>
          <w:highlight w:val="none"/>
          <w:lang w:val="en-US" w:eastAsia="zh-CN"/>
        </w:rPr>
        <w:t>4054</w:t>
      </w:r>
      <w:r>
        <w:rPr>
          <w:rFonts w:hint="eastAsia" w:hAnsi="宋体" w:cs="宋体"/>
          <w:b/>
          <w:sz w:val="40"/>
          <w:szCs w:val="40"/>
          <w:highlight w:val="none"/>
        </w:rPr>
        <w:t xml:space="preserve"> </w:t>
      </w:r>
    </w:p>
    <w:p>
      <w:pPr>
        <w:spacing w:line="360" w:lineRule="auto"/>
        <w:ind w:firstLine="1273" w:firstLineChars="317"/>
        <w:jc w:val="left"/>
        <w:rPr>
          <w:rFonts w:hAnsi="宋体" w:cs="宋体"/>
          <w:b/>
          <w:sz w:val="40"/>
          <w:szCs w:val="40"/>
          <w:highlight w:val="none"/>
        </w:rPr>
      </w:pPr>
    </w:p>
    <w:p>
      <w:pPr>
        <w:spacing w:line="360" w:lineRule="auto"/>
        <w:jc w:val="center"/>
        <w:rPr>
          <w:rFonts w:hAnsi="宋体" w:cs="宋体"/>
          <w:b/>
          <w:sz w:val="40"/>
          <w:szCs w:val="40"/>
          <w:highlight w:val="none"/>
        </w:rPr>
      </w:pPr>
      <w:r>
        <w:rPr>
          <w:rFonts w:hint="eastAsia" w:hAnsi="宋体" w:cs="宋体"/>
          <w:b/>
          <w:sz w:val="40"/>
          <w:szCs w:val="40"/>
          <w:highlight w:val="none"/>
        </w:rPr>
        <w:t>采购人：重庆医科大学附属口腔医院</w:t>
      </w:r>
      <w:bookmarkEnd w:id="3"/>
      <w:bookmarkEnd w:id="4"/>
    </w:p>
    <w:p>
      <w:pPr>
        <w:spacing w:line="360" w:lineRule="auto"/>
        <w:jc w:val="center"/>
        <w:rPr>
          <w:rFonts w:hAnsi="宋体" w:cs="宋体"/>
          <w:b/>
          <w:sz w:val="40"/>
          <w:szCs w:val="40"/>
          <w:highlight w:val="none"/>
        </w:rPr>
      </w:pPr>
    </w:p>
    <w:p>
      <w:pPr>
        <w:spacing w:line="360" w:lineRule="auto"/>
        <w:jc w:val="center"/>
        <w:rPr>
          <w:highlight w:val="none"/>
        </w:rPr>
      </w:pPr>
      <w:bookmarkStart w:id="5" w:name="_Toc19115521"/>
      <w:r>
        <w:rPr>
          <w:rFonts w:hint="eastAsia" w:hAnsi="宋体" w:cs="宋体"/>
          <w:b/>
          <w:sz w:val="40"/>
          <w:szCs w:val="40"/>
          <w:highlight w:val="none"/>
        </w:rPr>
        <w:t>二○二</w:t>
      </w:r>
      <w:r>
        <w:rPr>
          <w:rFonts w:hint="eastAsia" w:hAnsi="宋体" w:cs="宋体"/>
          <w:b/>
          <w:sz w:val="40"/>
          <w:szCs w:val="40"/>
          <w:highlight w:val="none"/>
          <w:lang w:eastAsia="zh-CN"/>
        </w:rPr>
        <w:t>四</w:t>
      </w:r>
      <w:r>
        <w:rPr>
          <w:rFonts w:hint="eastAsia" w:hAnsi="宋体" w:cs="宋体"/>
          <w:b/>
          <w:sz w:val="40"/>
          <w:szCs w:val="40"/>
          <w:highlight w:val="none"/>
        </w:rPr>
        <w:t>年</w:t>
      </w:r>
      <w:r>
        <w:rPr>
          <w:rFonts w:hint="eastAsia" w:hAnsi="宋体" w:cs="宋体"/>
          <w:b/>
          <w:sz w:val="40"/>
          <w:szCs w:val="40"/>
          <w:highlight w:val="none"/>
          <w:lang w:val="en-US" w:eastAsia="zh-CN"/>
        </w:rPr>
        <w:t>九</w:t>
      </w:r>
      <w:r>
        <w:rPr>
          <w:rFonts w:hint="eastAsia" w:hAnsi="宋体" w:cs="宋体"/>
          <w:b/>
          <w:sz w:val="40"/>
          <w:szCs w:val="40"/>
          <w:highlight w:val="none"/>
        </w:rPr>
        <w:t>月</w:t>
      </w:r>
      <w:bookmarkEnd w:id="5"/>
      <w:r>
        <w:rPr>
          <w:rFonts w:hint="eastAsia" w:hAnsi="宋体" w:cs="宋体"/>
          <w:sz w:val="24"/>
          <w:szCs w:val="24"/>
          <w:highlight w:val="none"/>
        </w:rPr>
        <w:br w:type="page"/>
      </w:r>
      <w:bookmarkStart w:id="6" w:name="_Toc19113855"/>
      <w:r>
        <w:rPr>
          <w:rFonts w:hint="eastAsia" w:hAnsi="宋体" w:cs="宋体"/>
          <w:b/>
          <w:bCs/>
          <w:sz w:val="36"/>
          <w:szCs w:val="36"/>
          <w:highlight w:val="none"/>
          <w:lang w:val="zh-CN"/>
        </w:rPr>
        <w:t>目    录</w:t>
      </w:r>
      <w:r>
        <w:rPr>
          <w:rFonts w:hint="eastAsia" w:hAnsi="宋体" w:cs="宋体"/>
          <w:sz w:val="28"/>
          <w:szCs w:val="28"/>
          <w:highlight w:val="none"/>
        </w:rPr>
        <w:fldChar w:fldCharType="begin"/>
      </w:r>
      <w:r>
        <w:rPr>
          <w:rFonts w:hint="eastAsia" w:hAnsi="宋体" w:cs="宋体"/>
          <w:sz w:val="28"/>
          <w:szCs w:val="28"/>
          <w:highlight w:val="none"/>
        </w:rPr>
        <w:instrText xml:space="preserve"> TOC \o "1-3" \h \z \u </w:instrText>
      </w:r>
      <w:r>
        <w:rPr>
          <w:rFonts w:hint="eastAsia" w:hAnsi="宋体" w:cs="宋体"/>
          <w:sz w:val="28"/>
          <w:szCs w:val="28"/>
          <w:highlight w:val="none"/>
        </w:rPr>
        <w:fldChar w:fldCharType="separate"/>
      </w:r>
    </w:p>
    <w:p>
      <w:pPr>
        <w:pStyle w:val="10"/>
        <w:tabs>
          <w:tab w:val="right" w:leader="dot" w:pos="9488"/>
        </w:tabs>
        <w:rPr>
          <w:rFonts w:asciiTheme="minorHAnsi" w:hAnsiTheme="minorHAnsi" w:eastAsiaTheme="minorEastAsia" w:cstheme="minorBidi"/>
          <w:b w:val="0"/>
          <w:bCs w:val="0"/>
          <w:caps w:val="0"/>
          <w:kern w:val="2"/>
          <w:sz w:val="21"/>
          <w:szCs w:val="22"/>
          <w:highlight w:val="none"/>
        </w:rPr>
      </w:pPr>
      <w:r>
        <w:rPr>
          <w:highlight w:val="none"/>
        </w:rPr>
        <w:fldChar w:fldCharType="begin"/>
      </w:r>
      <w:r>
        <w:rPr>
          <w:highlight w:val="none"/>
        </w:rPr>
        <w:instrText xml:space="preserve"> HYPERLINK \l "_Toc98942871" </w:instrText>
      </w:r>
      <w:r>
        <w:rPr>
          <w:highlight w:val="none"/>
        </w:rPr>
        <w:fldChar w:fldCharType="separate"/>
      </w:r>
      <w:r>
        <w:rPr>
          <w:rStyle w:val="14"/>
          <w:rFonts w:hint="eastAsia"/>
          <w:highlight w:val="none"/>
        </w:rPr>
        <w:t>第一篇投标邀请书</w:t>
      </w:r>
      <w:r>
        <w:rPr>
          <w:highlight w:val="none"/>
        </w:rPr>
        <w:tab/>
      </w:r>
      <w:r>
        <w:rPr>
          <w:highlight w:val="none"/>
        </w:rPr>
        <w:fldChar w:fldCharType="begin"/>
      </w:r>
      <w:r>
        <w:rPr>
          <w:highlight w:val="none"/>
        </w:rPr>
        <w:instrText xml:space="preserve"> PAGEREF _Toc98942871 \h </w:instrText>
      </w:r>
      <w:r>
        <w:rPr>
          <w:highlight w:val="none"/>
        </w:rPr>
        <w:fldChar w:fldCharType="separate"/>
      </w:r>
      <w:r>
        <w:rPr>
          <w:highlight w:val="none"/>
        </w:rPr>
        <w:t>4</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"_Toc98942872" </w:instrText>
      </w:r>
      <w:r>
        <w:rPr>
          <w:highlight w:val="none"/>
        </w:rPr>
        <w:fldChar w:fldCharType="separate"/>
      </w:r>
      <w:r>
        <w:rPr>
          <w:rStyle w:val="14"/>
          <w:rFonts w:hint="eastAsia" w:ascii="宋体" w:hAnsi="宋体" w:cs="宋体"/>
          <w:highlight w:val="none"/>
        </w:rPr>
        <w:t>一、</w:t>
      </w:r>
      <w:r>
        <w:rPr>
          <w:rStyle w:val="14"/>
          <w:rFonts w:hint="eastAsia" w:ascii="宋体" w:hAnsi="宋体" w:cs="宋体"/>
          <w:highlight w:val="none"/>
          <w:lang w:eastAsia="zh-CN"/>
        </w:rPr>
        <w:t>采购项目</w:t>
      </w:r>
      <w:r>
        <w:rPr>
          <w:rStyle w:val="14"/>
          <w:rFonts w:hint="eastAsia" w:ascii="宋体" w:hAnsi="宋体" w:cs="宋体"/>
          <w:highlight w:val="none"/>
        </w:rPr>
        <w:t>内容</w:t>
      </w:r>
      <w:r>
        <w:rPr>
          <w:highlight w:val="none"/>
        </w:rPr>
        <w:tab/>
      </w:r>
      <w:r>
        <w:rPr>
          <w:highlight w:val="none"/>
        </w:rPr>
        <w:fldChar w:fldCharType="begin"/>
      </w:r>
      <w:r>
        <w:rPr>
          <w:highlight w:val="none"/>
        </w:rPr>
        <w:instrText xml:space="preserve"> PAGEREF _Toc98942872 \h </w:instrText>
      </w:r>
      <w:r>
        <w:rPr>
          <w:highlight w:val="none"/>
        </w:rPr>
        <w:fldChar w:fldCharType="separate"/>
      </w:r>
      <w:r>
        <w:rPr>
          <w:highlight w:val="none"/>
        </w:rPr>
        <w:t>4</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"_Toc98942873" </w:instrText>
      </w:r>
      <w:r>
        <w:rPr>
          <w:highlight w:val="none"/>
        </w:rPr>
        <w:fldChar w:fldCharType="separate"/>
      </w:r>
      <w:r>
        <w:rPr>
          <w:rStyle w:val="14"/>
          <w:rFonts w:hint="eastAsia"/>
          <w:highlight w:val="none"/>
        </w:rPr>
        <w:t>二、资金来源</w:t>
      </w:r>
      <w:r>
        <w:rPr>
          <w:highlight w:val="none"/>
        </w:rPr>
        <w:tab/>
      </w:r>
      <w:r>
        <w:rPr>
          <w:highlight w:val="none"/>
        </w:rPr>
        <w:fldChar w:fldCharType="begin"/>
      </w:r>
      <w:r>
        <w:rPr>
          <w:highlight w:val="none"/>
        </w:rPr>
        <w:instrText xml:space="preserve"> PAGEREF _Toc98942873 \h </w:instrText>
      </w:r>
      <w:r>
        <w:rPr>
          <w:highlight w:val="none"/>
        </w:rPr>
        <w:fldChar w:fldCharType="separate"/>
      </w:r>
      <w:r>
        <w:rPr>
          <w:highlight w:val="none"/>
        </w:rPr>
        <w:t>4</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"_Toc98942874" </w:instrText>
      </w:r>
      <w:r>
        <w:rPr>
          <w:highlight w:val="none"/>
        </w:rPr>
        <w:fldChar w:fldCharType="separate"/>
      </w:r>
      <w:r>
        <w:rPr>
          <w:rStyle w:val="14"/>
          <w:rFonts w:hint="eastAsia"/>
          <w:highlight w:val="none"/>
        </w:rPr>
        <w:t>三、采购方式</w:t>
      </w:r>
      <w:r>
        <w:rPr>
          <w:highlight w:val="none"/>
        </w:rPr>
        <w:tab/>
      </w:r>
      <w:r>
        <w:rPr>
          <w:highlight w:val="none"/>
        </w:rPr>
        <w:fldChar w:fldCharType="begin"/>
      </w:r>
      <w:r>
        <w:rPr>
          <w:highlight w:val="none"/>
        </w:rPr>
        <w:instrText xml:space="preserve"> PAGEREF _Toc98942874 \h </w:instrText>
      </w:r>
      <w:r>
        <w:rPr>
          <w:highlight w:val="none"/>
        </w:rPr>
        <w:fldChar w:fldCharType="separate"/>
      </w:r>
      <w:r>
        <w:rPr>
          <w:highlight w:val="none"/>
        </w:rPr>
        <w:t>4</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"_Toc98942875" </w:instrText>
      </w:r>
      <w:r>
        <w:rPr>
          <w:highlight w:val="none"/>
        </w:rPr>
        <w:fldChar w:fldCharType="separate"/>
      </w:r>
      <w:r>
        <w:rPr>
          <w:rStyle w:val="14"/>
          <w:rFonts w:hint="eastAsia"/>
          <w:highlight w:val="none"/>
        </w:rPr>
        <w:t>四、投标人资格要求</w:t>
      </w:r>
      <w:r>
        <w:rPr>
          <w:highlight w:val="none"/>
        </w:rPr>
        <w:tab/>
      </w:r>
      <w:r>
        <w:rPr>
          <w:highlight w:val="none"/>
        </w:rPr>
        <w:fldChar w:fldCharType="begin"/>
      </w:r>
      <w:r>
        <w:rPr>
          <w:highlight w:val="none"/>
        </w:rPr>
        <w:instrText xml:space="preserve"> PAGEREF _Toc98942875 \h </w:instrText>
      </w:r>
      <w:r>
        <w:rPr>
          <w:highlight w:val="none"/>
        </w:rPr>
        <w:fldChar w:fldCharType="separate"/>
      </w:r>
      <w:r>
        <w:rPr>
          <w:highlight w:val="none"/>
        </w:rPr>
        <w:t>4</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"_Toc98942876" </w:instrText>
      </w:r>
      <w:r>
        <w:rPr>
          <w:highlight w:val="none"/>
        </w:rPr>
        <w:fldChar w:fldCharType="separate"/>
      </w:r>
      <w:r>
        <w:rPr>
          <w:rStyle w:val="14"/>
          <w:rFonts w:hint="eastAsia"/>
          <w:highlight w:val="none"/>
        </w:rPr>
        <w:t>五、招标书获取及投标时间要求</w:t>
      </w:r>
      <w:r>
        <w:rPr>
          <w:highlight w:val="none"/>
        </w:rPr>
        <w:tab/>
      </w:r>
      <w:r>
        <w:rPr>
          <w:highlight w:val="none"/>
        </w:rPr>
        <w:fldChar w:fldCharType="begin"/>
      </w:r>
      <w:r>
        <w:rPr>
          <w:highlight w:val="none"/>
        </w:rPr>
        <w:instrText xml:space="preserve"> PAGEREF _Toc98942876 \h </w:instrText>
      </w:r>
      <w:r>
        <w:rPr>
          <w:highlight w:val="none"/>
        </w:rPr>
        <w:fldChar w:fldCharType="separate"/>
      </w:r>
      <w:r>
        <w:rPr>
          <w:highlight w:val="none"/>
        </w:rPr>
        <w:t>4</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"_Toc98942877" </w:instrText>
      </w:r>
      <w:r>
        <w:rPr>
          <w:highlight w:val="none"/>
        </w:rPr>
        <w:fldChar w:fldCharType="separate"/>
      </w:r>
      <w:r>
        <w:rPr>
          <w:rStyle w:val="14"/>
          <w:rFonts w:hint="eastAsia"/>
          <w:highlight w:val="none"/>
        </w:rPr>
        <w:t>六、其它有关规定</w:t>
      </w:r>
      <w:r>
        <w:rPr>
          <w:highlight w:val="none"/>
        </w:rPr>
        <w:tab/>
      </w:r>
      <w:r>
        <w:rPr>
          <w:highlight w:val="none"/>
        </w:rPr>
        <w:fldChar w:fldCharType="begin"/>
      </w:r>
      <w:r>
        <w:rPr>
          <w:highlight w:val="none"/>
        </w:rPr>
        <w:instrText xml:space="preserve"> PAGEREF _Toc98942877 \h </w:instrText>
      </w:r>
      <w:r>
        <w:rPr>
          <w:highlight w:val="none"/>
        </w:rPr>
        <w:fldChar w:fldCharType="separate"/>
      </w:r>
      <w:r>
        <w:rPr>
          <w:highlight w:val="none"/>
        </w:rPr>
        <w:t>5</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"_Toc98942878" </w:instrText>
      </w:r>
      <w:r>
        <w:rPr>
          <w:highlight w:val="none"/>
        </w:rPr>
        <w:fldChar w:fldCharType="separate"/>
      </w:r>
      <w:r>
        <w:rPr>
          <w:rStyle w:val="14"/>
          <w:rFonts w:hint="eastAsia"/>
          <w:highlight w:val="none"/>
        </w:rPr>
        <w:t>七、联系方式</w:t>
      </w:r>
      <w:r>
        <w:rPr>
          <w:highlight w:val="none"/>
        </w:rPr>
        <w:tab/>
      </w:r>
      <w:r>
        <w:rPr>
          <w:highlight w:val="none"/>
        </w:rPr>
        <w:fldChar w:fldCharType="begin"/>
      </w:r>
      <w:r>
        <w:rPr>
          <w:highlight w:val="none"/>
        </w:rPr>
        <w:instrText xml:space="preserve"> PAGEREF _Toc98942878 \h </w:instrText>
      </w:r>
      <w:r>
        <w:rPr>
          <w:highlight w:val="none"/>
        </w:rPr>
        <w:fldChar w:fldCharType="separate"/>
      </w:r>
      <w:r>
        <w:rPr>
          <w:highlight w:val="none"/>
        </w:rPr>
        <w:t>5</w:t>
      </w:r>
      <w:r>
        <w:rPr>
          <w:highlight w:val="none"/>
        </w:rPr>
        <w:fldChar w:fldCharType="end"/>
      </w:r>
      <w:r>
        <w:rPr>
          <w:highlight w:val="none"/>
        </w:rPr>
        <w:fldChar w:fldCharType="end"/>
      </w:r>
    </w:p>
    <w:p>
      <w:pPr>
        <w:pStyle w:val="10"/>
        <w:tabs>
          <w:tab w:val="right" w:leader="dot" w:pos="9488"/>
        </w:tabs>
        <w:rPr>
          <w:rFonts w:asciiTheme="minorHAnsi" w:hAnsiTheme="minorHAnsi" w:eastAsiaTheme="minorEastAsia" w:cstheme="minorBidi"/>
          <w:b w:val="0"/>
          <w:bCs w:val="0"/>
          <w:caps w:val="0"/>
          <w:kern w:val="2"/>
          <w:sz w:val="21"/>
          <w:szCs w:val="22"/>
          <w:highlight w:val="none"/>
        </w:rPr>
      </w:pPr>
      <w:r>
        <w:rPr>
          <w:highlight w:val="none"/>
        </w:rPr>
        <w:fldChar w:fldCharType="begin"/>
      </w:r>
      <w:r>
        <w:rPr>
          <w:highlight w:val="none"/>
        </w:rPr>
        <w:instrText xml:space="preserve"> HYPERLINK \l "_Toc98942879" </w:instrText>
      </w:r>
      <w:r>
        <w:rPr>
          <w:highlight w:val="none"/>
        </w:rPr>
        <w:fldChar w:fldCharType="separate"/>
      </w:r>
      <w:r>
        <w:rPr>
          <w:rStyle w:val="14"/>
          <w:rFonts w:hint="eastAsia" w:hAnsi="宋体" w:cs="宋体"/>
          <w:highlight w:val="none"/>
        </w:rPr>
        <w:t>第二篇项目技术要求</w:t>
      </w:r>
      <w:r>
        <w:rPr>
          <w:highlight w:val="none"/>
        </w:rPr>
        <w:tab/>
      </w:r>
      <w:r>
        <w:rPr>
          <w:highlight w:val="none"/>
        </w:rPr>
        <w:fldChar w:fldCharType="begin"/>
      </w:r>
      <w:r>
        <w:rPr>
          <w:highlight w:val="none"/>
        </w:rPr>
        <w:instrText xml:space="preserve"> PAGEREF _Toc98942879 \h </w:instrText>
      </w:r>
      <w:r>
        <w:rPr>
          <w:highlight w:val="none"/>
        </w:rPr>
        <w:fldChar w:fldCharType="separate"/>
      </w:r>
      <w:r>
        <w:rPr>
          <w:highlight w:val="none"/>
        </w:rPr>
        <w:t>6</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"_Toc98942880" </w:instrText>
      </w:r>
      <w:r>
        <w:rPr>
          <w:highlight w:val="none"/>
        </w:rPr>
        <w:fldChar w:fldCharType="separate"/>
      </w:r>
      <w:r>
        <w:rPr>
          <w:rStyle w:val="14"/>
          <w:rFonts w:hint="eastAsia"/>
          <w:highlight w:val="none"/>
        </w:rPr>
        <w:t>一、</w:t>
      </w:r>
      <w:r>
        <w:rPr>
          <w:rStyle w:val="14"/>
          <w:rFonts w:hint="eastAsia"/>
          <w:highlight w:val="none"/>
          <w:lang w:eastAsia="zh-CN"/>
        </w:rPr>
        <w:t>采购项目</w:t>
      </w:r>
      <w:r>
        <w:rPr>
          <w:rStyle w:val="14"/>
          <w:rFonts w:hint="eastAsia"/>
          <w:highlight w:val="none"/>
        </w:rPr>
        <w:t>一览表</w:t>
      </w:r>
      <w:r>
        <w:rPr>
          <w:highlight w:val="none"/>
        </w:rPr>
        <w:tab/>
      </w:r>
      <w:r>
        <w:rPr>
          <w:highlight w:val="none"/>
        </w:rPr>
        <w:fldChar w:fldCharType="begin"/>
      </w:r>
      <w:r>
        <w:rPr>
          <w:highlight w:val="none"/>
        </w:rPr>
        <w:instrText xml:space="preserve"> PAGEREF _Toc98942880 \h </w:instrText>
      </w:r>
      <w:r>
        <w:rPr>
          <w:highlight w:val="none"/>
        </w:rPr>
        <w:fldChar w:fldCharType="separate"/>
      </w:r>
      <w:r>
        <w:rPr>
          <w:highlight w:val="none"/>
        </w:rPr>
        <w:t>6</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"_Toc98942881" </w:instrText>
      </w:r>
      <w:r>
        <w:rPr>
          <w:highlight w:val="none"/>
        </w:rPr>
        <w:fldChar w:fldCharType="separate"/>
      </w:r>
      <w:r>
        <w:rPr>
          <w:rStyle w:val="14"/>
          <w:rFonts w:hint="eastAsia"/>
          <w:highlight w:val="none"/>
        </w:rPr>
        <w:t>二、</w:t>
      </w:r>
      <w:r>
        <w:rPr>
          <w:rStyle w:val="14"/>
          <w:rFonts w:hint="eastAsia"/>
          <w:highlight w:val="none"/>
          <w:lang w:eastAsia="zh-CN"/>
        </w:rPr>
        <w:t>采购项目</w:t>
      </w:r>
      <w:r>
        <w:rPr>
          <w:rStyle w:val="14"/>
          <w:rFonts w:hint="eastAsia"/>
          <w:highlight w:val="none"/>
        </w:rPr>
        <w:t>技术要求</w:t>
      </w:r>
      <w:r>
        <w:rPr>
          <w:highlight w:val="none"/>
        </w:rPr>
        <w:tab/>
      </w:r>
      <w:r>
        <w:rPr>
          <w:highlight w:val="none"/>
        </w:rPr>
        <w:fldChar w:fldCharType="begin"/>
      </w:r>
      <w:r>
        <w:rPr>
          <w:highlight w:val="none"/>
        </w:rPr>
        <w:instrText xml:space="preserve"> PAGEREF _Toc98942881 \h </w:instrText>
      </w:r>
      <w:r>
        <w:rPr>
          <w:highlight w:val="none"/>
        </w:rPr>
        <w:fldChar w:fldCharType="separate"/>
      </w:r>
      <w:r>
        <w:rPr>
          <w:highlight w:val="none"/>
        </w:rPr>
        <w:t>6</w:t>
      </w:r>
      <w:r>
        <w:rPr>
          <w:highlight w:val="none"/>
        </w:rPr>
        <w:fldChar w:fldCharType="end"/>
      </w:r>
      <w:r>
        <w:rPr>
          <w:highlight w:val="none"/>
        </w:rPr>
        <w:fldChar w:fldCharType="end"/>
      </w:r>
    </w:p>
    <w:p>
      <w:pPr>
        <w:pStyle w:val="10"/>
        <w:tabs>
          <w:tab w:val="right" w:leader="dot" w:pos="9488"/>
        </w:tabs>
        <w:rPr>
          <w:rFonts w:asciiTheme="minorHAnsi" w:hAnsiTheme="minorHAnsi" w:eastAsiaTheme="minorEastAsia" w:cstheme="minorBidi"/>
          <w:b w:val="0"/>
          <w:bCs w:val="0"/>
          <w:caps w:val="0"/>
          <w:kern w:val="2"/>
          <w:sz w:val="21"/>
          <w:szCs w:val="22"/>
          <w:highlight w:val="none"/>
        </w:rPr>
      </w:pPr>
      <w:r>
        <w:rPr>
          <w:highlight w:val="none"/>
        </w:rPr>
        <w:fldChar w:fldCharType="begin"/>
      </w:r>
      <w:r>
        <w:rPr>
          <w:highlight w:val="none"/>
        </w:rPr>
        <w:instrText xml:space="preserve"> HYPERLINK \l "_Toc98942882" </w:instrText>
      </w:r>
      <w:r>
        <w:rPr>
          <w:highlight w:val="none"/>
        </w:rPr>
        <w:fldChar w:fldCharType="separate"/>
      </w:r>
      <w:r>
        <w:rPr>
          <w:rStyle w:val="14"/>
          <w:rFonts w:hint="eastAsia" w:hAnsi="宋体" w:cs="宋体"/>
          <w:highlight w:val="none"/>
        </w:rPr>
        <w:t>第三篇项目商务要求</w:t>
      </w:r>
      <w:r>
        <w:rPr>
          <w:highlight w:val="none"/>
        </w:rPr>
        <w:tab/>
      </w:r>
      <w:r>
        <w:rPr>
          <w:highlight w:val="none"/>
        </w:rPr>
        <w:fldChar w:fldCharType="begin"/>
      </w:r>
      <w:r>
        <w:rPr>
          <w:highlight w:val="none"/>
        </w:rPr>
        <w:instrText xml:space="preserve"> PAGEREF _Toc98942882 \h </w:instrText>
      </w:r>
      <w:r>
        <w:rPr>
          <w:highlight w:val="none"/>
        </w:rPr>
        <w:fldChar w:fldCharType="separate"/>
      </w:r>
      <w:r>
        <w:rPr>
          <w:highlight w:val="none"/>
        </w:rPr>
        <w:t>8</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"_Toc98942883" </w:instrText>
      </w:r>
      <w:r>
        <w:rPr>
          <w:highlight w:val="none"/>
        </w:rPr>
        <w:fldChar w:fldCharType="separate"/>
      </w:r>
      <w:r>
        <w:rPr>
          <w:rStyle w:val="14"/>
          <w:rFonts w:hint="eastAsia"/>
          <w:highlight w:val="none"/>
        </w:rPr>
        <w:t>一、交货期、交货地点及验收方式</w:t>
      </w:r>
      <w:r>
        <w:rPr>
          <w:highlight w:val="none"/>
        </w:rPr>
        <w:tab/>
      </w:r>
      <w:r>
        <w:rPr>
          <w:highlight w:val="none"/>
        </w:rPr>
        <w:fldChar w:fldCharType="begin"/>
      </w:r>
      <w:r>
        <w:rPr>
          <w:highlight w:val="none"/>
        </w:rPr>
        <w:instrText xml:space="preserve"> PAGEREF _Toc98942883 \h </w:instrText>
      </w:r>
      <w:r>
        <w:rPr>
          <w:highlight w:val="none"/>
        </w:rPr>
        <w:fldChar w:fldCharType="separate"/>
      </w:r>
      <w:r>
        <w:rPr>
          <w:highlight w:val="none"/>
        </w:rPr>
        <w:t>8</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"_Toc98942884" </w:instrText>
      </w:r>
      <w:r>
        <w:rPr>
          <w:highlight w:val="none"/>
        </w:rPr>
        <w:fldChar w:fldCharType="separate"/>
      </w:r>
      <w:r>
        <w:rPr>
          <w:rStyle w:val="14"/>
          <w:rFonts w:hint="eastAsia"/>
          <w:highlight w:val="none"/>
        </w:rPr>
        <w:t>二、报价要求</w:t>
      </w:r>
      <w:r>
        <w:rPr>
          <w:highlight w:val="none"/>
        </w:rPr>
        <w:tab/>
      </w:r>
      <w:r>
        <w:rPr>
          <w:highlight w:val="none"/>
        </w:rPr>
        <w:fldChar w:fldCharType="begin"/>
      </w:r>
      <w:r>
        <w:rPr>
          <w:highlight w:val="none"/>
        </w:rPr>
        <w:instrText xml:space="preserve"> PAGEREF _Toc98942884 \h </w:instrText>
      </w:r>
      <w:r>
        <w:rPr>
          <w:highlight w:val="none"/>
        </w:rPr>
        <w:fldChar w:fldCharType="separate"/>
      </w:r>
      <w:r>
        <w:rPr>
          <w:highlight w:val="none"/>
        </w:rPr>
        <w:t>8</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"_Toc98942885" </w:instrText>
      </w:r>
      <w:r>
        <w:rPr>
          <w:highlight w:val="none"/>
        </w:rPr>
        <w:fldChar w:fldCharType="separate"/>
      </w:r>
      <w:r>
        <w:rPr>
          <w:rStyle w:val="14"/>
          <w:rFonts w:hint="eastAsia"/>
          <w:highlight w:val="none"/>
        </w:rPr>
        <w:t>三、质量保证及售后服务</w:t>
      </w:r>
      <w:r>
        <w:rPr>
          <w:highlight w:val="none"/>
        </w:rPr>
        <w:tab/>
      </w:r>
      <w:r>
        <w:rPr>
          <w:highlight w:val="none"/>
        </w:rPr>
        <w:fldChar w:fldCharType="begin"/>
      </w:r>
      <w:r>
        <w:rPr>
          <w:highlight w:val="none"/>
        </w:rPr>
        <w:instrText xml:space="preserve"> PAGEREF _Toc98942885 \h </w:instrText>
      </w:r>
      <w:r>
        <w:rPr>
          <w:highlight w:val="none"/>
        </w:rPr>
        <w:fldChar w:fldCharType="separate"/>
      </w:r>
      <w:r>
        <w:rPr>
          <w:highlight w:val="none"/>
        </w:rPr>
        <w:t>8</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"_Toc98942886" </w:instrText>
      </w:r>
      <w:r>
        <w:rPr>
          <w:highlight w:val="none"/>
        </w:rPr>
        <w:fldChar w:fldCharType="separate"/>
      </w:r>
      <w:r>
        <w:rPr>
          <w:rStyle w:val="14"/>
          <w:rFonts w:hint="eastAsia"/>
          <w:highlight w:val="none"/>
        </w:rPr>
        <w:t>四、付款方式</w:t>
      </w:r>
      <w:r>
        <w:rPr>
          <w:highlight w:val="none"/>
        </w:rPr>
        <w:tab/>
      </w:r>
      <w:r>
        <w:rPr>
          <w:highlight w:val="none"/>
        </w:rPr>
        <w:fldChar w:fldCharType="begin"/>
      </w:r>
      <w:r>
        <w:rPr>
          <w:highlight w:val="none"/>
        </w:rPr>
        <w:instrText xml:space="preserve"> PAGEREF _Toc98942886 \h </w:instrText>
      </w:r>
      <w:r>
        <w:rPr>
          <w:highlight w:val="none"/>
        </w:rPr>
        <w:fldChar w:fldCharType="separate"/>
      </w:r>
      <w:r>
        <w:rPr>
          <w:highlight w:val="none"/>
        </w:rPr>
        <w:t>9</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"_Toc98942887" </w:instrText>
      </w:r>
      <w:r>
        <w:rPr>
          <w:highlight w:val="none"/>
        </w:rPr>
        <w:fldChar w:fldCharType="separate"/>
      </w:r>
      <w:r>
        <w:rPr>
          <w:rStyle w:val="14"/>
          <w:rFonts w:hint="eastAsia"/>
          <w:highlight w:val="none"/>
        </w:rPr>
        <w:t>五、知识产权</w:t>
      </w:r>
      <w:r>
        <w:rPr>
          <w:highlight w:val="none"/>
        </w:rPr>
        <w:tab/>
      </w:r>
      <w:r>
        <w:rPr>
          <w:highlight w:val="none"/>
        </w:rPr>
        <w:fldChar w:fldCharType="begin"/>
      </w:r>
      <w:r>
        <w:rPr>
          <w:highlight w:val="none"/>
        </w:rPr>
        <w:instrText xml:space="preserve"> PAGEREF _Toc98942887 \h </w:instrText>
      </w:r>
      <w:r>
        <w:rPr>
          <w:highlight w:val="none"/>
        </w:rPr>
        <w:fldChar w:fldCharType="separate"/>
      </w:r>
      <w:r>
        <w:rPr>
          <w:highlight w:val="none"/>
        </w:rPr>
        <w:t>9</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"_Toc98942888" </w:instrText>
      </w:r>
      <w:r>
        <w:rPr>
          <w:highlight w:val="none"/>
        </w:rPr>
        <w:fldChar w:fldCharType="separate"/>
      </w:r>
      <w:r>
        <w:rPr>
          <w:rStyle w:val="14"/>
          <w:rFonts w:hint="eastAsia"/>
          <w:highlight w:val="none"/>
        </w:rPr>
        <w:t>六、培训</w:t>
      </w:r>
      <w:r>
        <w:rPr>
          <w:highlight w:val="none"/>
        </w:rPr>
        <w:tab/>
      </w:r>
      <w:r>
        <w:rPr>
          <w:highlight w:val="none"/>
        </w:rPr>
        <w:fldChar w:fldCharType="begin"/>
      </w:r>
      <w:r>
        <w:rPr>
          <w:highlight w:val="none"/>
        </w:rPr>
        <w:instrText xml:space="preserve"> PAGEREF _Toc98942888 \h </w:instrText>
      </w:r>
      <w:r>
        <w:rPr>
          <w:highlight w:val="none"/>
        </w:rPr>
        <w:fldChar w:fldCharType="separate"/>
      </w:r>
      <w:r>
        <w:rPr>
          <w:highlight w:val="none"/>
        </w:rPr>
        <w:t>9</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"_Toc98942889" </w:instrText>
      </w:r>
      <w:r>
        <w:rPr>
          <w:highlight w:val="none"/>
        </w:rPr>
        <w:fldChar w:fldCharType="separate"/>
      </w:r>
      <w:r>
        <w:rPr>
          <w:rStyle w:val="14"/>
          <w:rFonts w:hint="eastAsia"/>
          <w:highlight w:val="none"/>
        </w:rPr>
        <w:t>七、其他商务要求内容</w:t>
      </w:r>
      <w:r>
        <w:rPr>
          <w:highlight w:val="none"/>
        </w:rPr>
        <w:tab/>
      </w:r>
      <w:r>
        <w:rPr>
          <w:highlight w:val="none"/>
        </w:rPr>
        <w:fldChar w:fldCharType="begin"/>
      </w:r>
      <w:r>
        <w:rPr>
          <w:highlight w:val="none"/>
        </w:rPr>
        <w:instrText xml:space="preserve"> PAGEREF _Toc98942889 \h </w:instrText>
      </w:r>
      <w:r>
        <w:rPr>
          <w:highlight w:val="none"/>
        </w:rPr>
        <w:fldChar w:fldCharType="separate"/>
      </w:r>
      <w:r>
        <w:rPr>
          <w:highlight w:val="none"/>
        </w:rPr>
        <w:t>10</w:t>
      </w:r>
      <w:r>
        <w:rPr>
          <w:highlight w:val="none"/>
        </w:rPr>
        <w:fldChar w:fldCharType="end"/>
      </w:r>
      <w:r>
        <w:rPr>
          <w:highlight w:val="none"/>
        </w:rPr>
        <w:fldChar w:fldCharType="end"/>
      </w:r>
    </w:p>
    <w:p>
      <w:pPr>
        <w:pStyle w:val="10"/>
        <w:tabs>
          <w:tab w:val="right" w:leader="dot" w:pos="9488"/>
        </w:tabs>
        <w:rPr>
          <w:rFonts w:asciiTheme="minorHAnsi" w:hAnsiTheme="minorHAnsi" w:eastAsiaTheme="minorEastAsia" w:cstheme="minorBidi"/>
          <w:b w:val="0"/>
          <w:bCs w:val="0"/>
          <w:caps w:val="0"/>
          <w:kern w:val="2"/>
          <w:sz w:val="21"/>
          <w:szCs w:val="22"/>
          <w:highlight w:val="none"/>
        </w:rPr>
      </w:pPr>
      <w:r>
        <w:rPr>
          <w:highlight w:val="none"/>
        </w:rPr>
        <w:fldChar w:fldCharType="begin"/>
      </w:r>
      <w:r>
        <w:rPr>
          <w:highlight w:val="none"/>
        </w:rPr>
        <w:instrText xml:space="preserve"> HYPERLINK \l "_Toc98942890" </w:instrText>
      </w:r>
      <w:r>
        <w:rPr>
          <w:highlight w:val="none"/>
        </w:rPr>
        <w:fldChar w:fldCharType="separate"/>
      </w:r>
      <w:r>
        <w:rPr>
          <w:rStyle w:val="14"/>
          <w:rFonts w:hint="eastAsia" w:hAnsi="宋体" w:cs="宋体"/>
          <w:highlight w:val="none"/>
        </w:rPr>
        <w:t>第四篇资格审查及评分办法</w:t>
      </w:r>
      <w:r>
        <w:rPr>
          <w:highlight w:val="none"/>
        </w:rPr>
        <w:tab/>
      </w:r>
      <w:r>
        <w:rPr>
          <w:highlight w:val="none"/>
        </w:rPr>
        <w:fldChar w:fldCharType="begin"/>
      </w:r>
      <w:r>
        <w:rPr>
          <w:highlight w:val="none"/>
        </w:rPr>
        <w:instrText xml:space="preserve"> PAGEREF _Toc98942890 \h </w:instrText>
      </w:r>
      <w:r>
        <w:rPr>
          <w:highlight w:val="none"/>
        </w:rPr>
        <w:fldChar w:fldCharType="separate"/>
      </w:r>
      <w:r>
        <w:rPr>
          <w:highlight w:val="none"/>
        </w:rPr>
        <w:t>11</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"_Toc98942891" </w:instrText>
      </w:r>
      <w:r>
        <w:rPr>
          <w:highlight w:val="none"/>
        </w:rPr>
        <w:fldChar w:fldCharType="separate"/>
      </w:r>
      <w:r>
        <w:rPr>
          <w:rStyle w:val="14"/>
          <w:rFonts w:hint="eastAsia"/>
          <w:highlight w:val="none"/>
        </w:rPr>
        <w:t>一、资格审查</w:t>
      </w:r>
      <w:r>
        <w:rPr>
          <w:highlight w:val="none"/>
        </w:rPr>
        <w:tab/>
      </w:r>
      <w:r>
        <w:rPr>
          <w:highlight w:val="none"/>
        </w:rPr>
        <w:fldChar w:fldCharType="begin"/>
      </w:r>
      <w:r>
        <w:rPr>
          <w:highlight w:val="none"/>
        </w:rPr>
        <w:instrText xml:space="preserve"> PAGEREF _Toc98942891 \h </w:instrText>
      </w:r>
      <w:r>
        <w:rPr>
          <w:highlight w:val="none"/>
        </w:rPr>
        <w:fldChar w:fldCharType="separate"/>
      </w:r>
      <w:r>
        <w:rPr>
          <w:highlight w:val="none"/>
        </w:rPr>
        <w:t>11</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"_Toc98942892" </w:instrText>
      </w:r>
      <w:r>
        <w:rPr>
          <w:highlight w:val="none"/>
        </w:rPr>
        <w:fldChar w:fldCharType="separate"/>
      </w:r>
      <w:r>
        <w:rPr>
          <w:rStyle w:val="14"/>
          <w:rFonts w:hint="eastAsia"/>
          <w:highlight w:val="none"/>
        </w:rPr>
        <w:t>二、评标方法</w:t>
      </w:r>
      <w:r>
        <w:rPr>
          <w:highlight w:val="none"/>
        </w:rPr>
        <w:tab/>
      </w:r>
      <w:r>
        <w:rPr>
          <w:highlight w:val="none"/>
        </w:rPr>
        <w:fldChar w:fldCharType="begin"/>
      </w:r>
      <w:r>
        <w:rPr>
          <w:highlight w:val="none"/>
        </w:rPr>
        <w:instrText xml:space="preserve"> PAGEREF _Toc98942892 \h </w:instrText>
      </w:r>
      <w:r>
        <w:rPr>
          <w:highlight w:val="none"/>
        </w:rPr>
        <w:fldChar w:fldCharType="separate"/>
      </w:r>
      <w:r>
        <w:rPr>
          <w:highlight w:val="none"/>
        </w:rPr>
        <w:t>11</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"_Toc98942893" </w:instrText>
      </w:r>
      <w:r>
        <w:rPr>
          <w:highlight w:val="none"/>
        </w:rPr>
        <w:fldChar w:fldCharType="separate"/>
      </w:r>
      <w:r>
        <w:rPr>
          <w:rStyle w:val="14"/>
          <w:rFonts w:hint="eastAsia"/>
          <w:highlight w:val="none"/>
        </w:rPr>
        <w:t>三、评分标准</w:t>
      </w:r>
      <w:r>
        <w:rPr>
          <w:highlight w:val="none"/>
        </w:rPr>
        <w:tab/>
      </w:r>
      <w:r>
        <w:rPr>
          <w:highlight w:val="none"/>
        </w:rPr>
        <w:fldChar w:fldCharType="begin"/>
      </w:r>
      <w:r>
        <w:rPr>
          <w:highlight w:val="none"/>
        </w:rPr>
        <w:instrText xml:space="preserve"> PAGEREF _Toc98942893 \h </w:instrText>
      </w:r>
      <w:r>
        <w:rPr>
          <w:highlight w:val="none"/>
        </w:rPr>
        <w:fldChar w:fldCharType="separate"/>
      </w:r>
      <w:r>
        <w:rPr>
          <w:highlight w:val="none"/>
        </w:rPr>
        <w:t>12</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"_Toc98942894" </w:instrText>
      </w:r>
      <w:r>
        <w:rPr>
          <w:highlight w:val="none"/>
        </w:rPr>
        <w:fldChar w:fldCharType="separate"/>
      </w:r>
      <w:r>
        <w:rPr>
          <w:rStyle w:val="14"/>
          <w:rFonts w:hint="eastAsia"/>
          <w:highlight w:val="none"/>
        </w:rPr>
        <w:t>四、无效投标条款</w:t>
      </w:r>
      <w:r>
        <w:rPr>
          <w:highlight w:val="none"/>
        </w:rPr>
        <w:tab/>
      </w:r>
      <w:r>
        <w:rPr>
          <w:highlight w:val="none"/>
        </w:rPr>
        <w:fldChar w:fldCharType="begin"/>
      </w:r>
      <w:r>
        <w:rPr>
          <w:highlight w:val="none"/>
        </w:rPr>
        <w:instrText xml:space="preserve"> PAGEREF _Toc98942894 \h </w:instrText>
      </w:r>
      <w:r>
        <w:rPr>
          <w:highlight w:val="none"/>
        </w:rPr>
        <w:fldChar w:fldCharType="separate"/>
      </w:r>
      <w:r>
        <w:rPr>
          <w:highlight w:val="none"/>
        </w:rPr>
        <w:t>13</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"_Toc98942895" </w:instrText>
      </w:r>
      <w:r>
        <w:rPr>
          <w:highlight w:val="none"/>
        </w:rPr>
        <w:fldChar w:fldCharType="separate"/>
      </w:r>
      <w:r>
        <w:rPr>
          <w:rStyle w:val="14"/>
          <w:rFonts w:hint="eastAsia"/>
          <w:highlight w:val="none"/>
        </w:rPr>
        <w:t>五、废标条款</w:t>
      </w:r>
      <w:r>
        <w:rPr>
          <w:highlight w:val="none"/>
        </w:rPr>
        <w:tab/>
      </w:r>
      <w:r>
        <w:rPr>
          <w:highlight w:val="none"/>
        </w:rPr>
        <w:fldChar w:fldCharType="begin"/>
      </w:r>
      <w:r>
        <w:rPr>
          <w:highlight w:val="none"/>
        </w:rPr>
        <w:instrText xml:space="preserve"> PAGEREF _Toc98942895 \h </w:instrText>
      </w:r>
      <w:r>
        <w:rPr>
          <w:highlight w:val="none"/>
        </w:rPr>
        <w:fldChar w:fldCharType="separate"/>
      </w:r>
      <w:r>
        <w:rPr>
          <w:highlight w:val="none"/>
        </w:rPr>
        <w:t>13</w:t>
      </w:r>
      <w:r>
        <w:rPr>
          <w:highlight w:val="none"/>
        </w:rPr>
        <w:fldChar w:fldCharType="end"/>
      </w:r>
      <w:r>
        <w:rPr>
          <w:highlight w:val="none"/>
        </w:rPr>
        <w:fldChar w:fldCharType="end"/>
      </w:r>
    </w:p>
    <w:p>
      <w:pPr>
        <w:pStyle w:val="10"/>
        <w:tabs>
          <w:tab w:val="right" w:leader="dot" w:pos="9488"/>
        </w:tabs>
        <w:rPr>
          <w:rFonts w:asciiTheme="minorHAnsi" w:hAnsiTheme="minorHAnsi" w:eastAsiaTheme="minorEastAsia" w:cstheme="minorBidi"/>
          <w:b w:val="0"/>
          <w:bCs w:val="0"/>
          <w:caps w:val="0"/>
          <w:kern w:val="2"/>
          <w:sz w:val="21"/>
          <w:szCs w:val="22"/>
          <w:highlight w:val="none"/>
        </w:rPr>
      </w:pPr>
      <w:r>
        <w:rPr>
          <w:highlight w:val="none"/>
        </w:rPr>
        <w:fldChar w:fldCharType="begin"/>
      </w:r>
      <w:r>
        <w:rPr>
          <w:highlight w:val="none"/>
        </w:rPr>
        <w:instrText xml:space="preserve"> HYPERLINK \l "_Toc98942896" </w:instrText>
      </w:r>
      <w:r>
        <w:rPr>
          <w:highlight w:val="none"/>
        </w:rPr>
        <w:fldChar w:fldCharType="separate"/>
      </w:r>
      <w:r>
        <w:rPr>
          <w:rStyle w:val="14"/>
          <w:rFonts w:hint="eastAsia" w:hAnsi="宋体"/>
          <w:highlight w:val="none"/>
        </w:rPr>
        <w:t>第五篇投标人须知</w:t>
      </w:r>
      <w:r>
        <w:rPr>
          <w:highlight w:val="none"/>
        </w:rPr>
        <w:tab/>
      </w:r>
      <w:r>
        <w:rPr>
          <w:highlight w:val="none"/>
        </w:rPr>
        <w:fldChar w:fldCharType="begin"/>
      </w:r>
      <w:r>
        <w:rPr>
          <w:highlight w:val="none"/>
        </w:rPr>
        <w:instrText xml:space="preserve"> PAGEREF _Toc98942896 \h </w:instrText>
      </w:r>
      <w:r>
        <w:rPr>
          <w:highlight w:val="none"/>
        </w:rPr>
        <w:fldChar w:fldCharType="separate"/>
      </w:r>
      <w:r>
        <w:rPr>
          <w:highlight w:val="none"/>
        </w:rPr>
        <w:t>14</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"_Toc98942897" </w:instrText>
      </w:r>
      <w:r>
        <w:rPr>
          <w:highlight w:val="none"/>
        </w:rPr>
        <w:fldChar w:fldCharType="separate"/>
      </w:r>
      <w:r>
        <w:rPr>
          <w:rStyle w:val="14"/>
          <w:rFonts w:hint="eastAsia"/>
          <w:highlight w:val="none"/>
        </w:rPr>
        <w:t>一、投标人</w:t>
      </w:r>
      <w:r>
        <w:rPr>
          <w:highlight w:val="none"/>
        </w:rPr>
        <w:tab/>
      </w:r>
      <w:r>
        <w:rPr>
          <w:highlight w:val="none"/>
        </w:rPr>
        <w:fldChar w:fldCharType="begin"/>
      </w:r>
      <w:r>
        <w:rPr>
          <w:highlight w:val="none"/>
        </w:rPr>
        <w:instrText xml:space="preserve"> PAGEREF _Toc98942897 \h </w:instrText>
      </w:r>
      <w:r>
        <w:rPr>
          <w:highlight w:val="none"/>
        </w:rPr>
        <w:fldChar w:fldCharType="separate"/>
      </w:r>
      <w:r>
        <w:rPr>
          <w:highlight w:val="none"/>
        </w:rPr>
        <w:t>14</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"_Toc98942898" </w:instrText>
      </w:r>
      <w:r>
        <w:rPr>
          <w:highlight w:val="none"/>
        </w:rPr>
        <w:fldChar w:fldCharType="separate"/>
      </w:r>
      <w:r>
        <w:rPr>
          <w:rStyle w:val="14"/>
          <w:rFonts w:hint="eastAsia"/>
          <w:highlight w:val="none"/>
        </w:rPr>
        <w:t>二、</w:t>
      </w:r>
      <w:r>
        <w:rPr>
          <w:rStyle w:val="14"/>
          <w:rFonts w:hint="eastAsia"/>
          <w:highlight w:val="none"/>
          <w:lang w:eastAsia="zh-CN"/>
        </w:rPr>
        <w:t>竞争性比选文件</w:t>
      </w:r>
      <w:r>
        <w:rPr>
          <w:highlight w:val="none"/>
        </w:rPr>
        <w:tab/>
      </w:r>
      <w:r>
        <w:rPr>
          <w:highlight w:val="none"/>
        </w:rPr>
        <w:fldChar w:fldCharType="begin"/>
      </w:r>
      <w:r>
        <w:rPr>
          <w:highlight w:val="none"/>
        </w:rPr>
        <w:instrText xml:space="preserve"> PAGEREF _Toc98942898 \h </w:instrText>
      </w:r>
      <w:r>
        <w:rPr>
          <w:highlight w:val="none"/>
        </w:rPr>
        <w:fldChar w:fldCharType="separate"/>
      </w:r>
      <w:r>
        <w:rPr>
          <w:highlight w:val="none"/>
        </w:rPr>
        <w:t>14</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"_Toc98942899" </w:instrText>
      </w:r>
      <w:r>
        <w:rPr>
          <w:highlight w:val="none"/>
        </w:rPr>
        <w:fldChar w:fldCharType="separate"/>
      </w:r>
      <w:r>
        <w:rPr>
          <w:rStyle w:val="14"/>
          <w:rFonts w:hint="eastAsia"/>
          <w:highlight w:val="none"/>
        </w:rPr>
        <w:t>三、</w:t>
      </w:r>
      <w:r>
        <w:rPr>
          <w:rStyle w:val="14"/>
          <w:rFonts w:hint="eastAsia"/>
          <w:highlight w:val="none"/>
          <w:lang w:eastAsia="zh-CN"/>
        </w:rPr>
        <w:t>响应文件</w:t>
      </w:r>
      <w:r>
        <w:rPr>
          <w:highlight w:val="none"/>
        </w:rPr>
        <w:tab/>
      </w:r>
      <w:r>
        <w:rPr>
          <w:highlight w:val="none"/>
        </w:rPr>
        <w:fldChar w:fldCharType="begin"/>
      </w:r>
      <w:r>
        <w:rPr>
          <w:highlight w:val="none"/>
        </w:rPr>
        <w:instrText xml:space="preserve"> PAGEREF _Toc98942899 \h </w:instrText>
      </w:r>
      <w:r>
        <w:rPr>
          <w:highlight w:val="none"/>
        </w:rPr>
        <w:fldChar w:fldCharType="separate"/>
      </w:r>
      <w:r>
        <w:rPr>
          <w:highlight w:val="none"/>
        </w:rPr>
        <w:t>14</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"_Toc98942900" </w:instrText>
      </w:r>
      <w:r>
        <w:rPr>
          <w:highlight w:val="none"/>
        </w:rPr>
        <w:fldChar w:fldCharType="separate"/>
      </w:r>
      <w:r>
        <w:rPr>
          <w:rStyle w:val="14"/>
          <w:rFonts w:hint="eastAsia"/>
          <w:highlight w:val="none"/>
        </w:rPr>
        <w:t>四、评标</w:t>
      </w:r>
      <w:r>
        <w:rPr>
          <w:highlight w:val="none"/>
        </w:rPr>
        <w:tab/>
      </w:r>
      <w:r>
        <w:rPr>
          <w:highlight w:val="none"/>
        </w:rPr>
        <w:fldChar w:fldCharType="begin"/>
      </w:r>
      <w:r>
        <w:rPr>
          <w:highlight w:val="none"/>
        </w:rPr>
        <w:instrText xml:space="preserve"> PAGEREF _Toc98942900 \h </w:instrText>
      </w:r>
      <w:r>
        <w:rPr>
          <w:highlight w:val="none"/>
        </w:rPr>
        <w:fldChar w:fldCharType="separate"/>
      </w:r>
      <w:r>
        <w:rPr>
          <w:highlight w:val="none"/>
        </w:rPr>
        <w:t>16</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"_Toc98942901" </w:instrText>
      </w:r>
      <w:r>
        <w:rPr>
          <w:highlight w:val="none"/>
        </w:rPr>
        <w:fldChar w:fldCharType="separate"/>
      </w:r>
      <w:r>
        <w:rPr>
          <w:rStyle w:val="14"/>
          <w:rFonts w:hint="eastAsia"/>
          <w:highlight w:val="none"/>
        </w:rPr>
        <w:t>五、定标</w:t>
      </w:r>
      <w:r>
        <w:rPr>
          <w:highlight w:val="none"/>
        </w:rPr>
        <w:tab/>
      </w:r>
      <w:r>
        <w:rPr>
          <w:highlight w:val="none"/>
        </w:rPr>
        <w:fldChar w:fldCharType="begin"/>
      </w:r>
      <w:r>
        <w:rPr>
          <w:highlight w:val="none"/>
        </w:rPr>
        <w:instrText xml:space="preserve"> PAGEREF _Toc98942901 \h </w:instrText>
      </w:r>
      <w:r>
        <w:rPr>
          <w:highlight w:val="none"/>
        </w:rPr>
        <w:fldChar w:fldCharType="separate"/>
      </w:r>
      <w:r>
        <w:rPr>
          <w:highlight w:val="none"/>
        </w:rPr>
        <w:t>16</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"_Toc98942902" </w:instrText>
      </w:r>
      <w:r>
        <w:rPr>
          <w:highlight w:val="none"/>
        </w:rPr>
        <w:fldChar w:fldCharType="separate"/>
      </w:r>
      <w:r>
        <w:rPr>
          <w:rStyle w:val="14"/>
          <w:rFonts w:hint="eastAsia"/>
          <w:highlight w:val="none"/>
        </w:rPr>
        <w:t>六、询问、质疑和投诉</w:t>
      </w:r>
      <w:r>
        <w:rPr>
          <w:highlight w:val="none"/>
        </w:rPr>
        <w:tab/>
      </w:r>
      <w:r>
        <w:rPr>
          <w:highlight w:val="none"/>
        </w:rPr>
        <w:fldChar w:fldCharType="begin"/>
      </w:r>
      <w:r>
        <w:rPr>
          <w:highlight w:val="none"/>
        </w:rPr>
        <w:instrText xml:space="preserve"> PAGEREF _Toc98942902 \h </w:instrText>
      </w:r>
      <w:r>
        <w:rPr>
          <w:highlight w:val="none"/>
        </w:rPr>
        <w:fldChar w:fldCharType="separate"/>
      </w:r>
      <w:r>
        <w:rPr>
          <w:highlight w:val="none"/>
        </w:rPr>
        <w:t>16</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"_Toc98942903" </w:instrText>
      </w:r>
      <w:r>
        <w:rPr>
          <w:highlight w:val="none"/>
        </w:rPr>
        <w:fldChar w:fldCharType="separate"/>
      </w:r>
      <w:r>
        <w:rPr>
          <w:rStyle w:val="14"/>
          <w:rFonts w:hint="eastAsia"/>
          <w:highlight w:val="none"/>
        </w:rPr>
        <w:t>七、签订合同</w:t>
      </w:r>
      <w:r>
        <w:rPr>
          <w:highlight w:val="none"/>
        </w:rPr>
        <w:tab/>
      </w:r>
      <w:r>
        <w:rPr>
          <w:highlight w:val="none"/>
        </w:rPr>
        <w:fldChar w:fldCharType="begin"/>
      </w:r>
      <w:r>
        <w:rPr>
          <w:highlight w:val="none"/>
        </w:rPr>
        <w:instrText xml:space="preserve"> PAGEREF _Toc98942903 \h </w:instrText>
      </w:r>
      <w:r>
        <w:rPr>
          <w:highlight w:val="none"/>
        </w:rPr>
        <w:fldChar w:fldCharType="separate"/>
      </w:r>
      <w:r>
        <w:rPr>
          <w:highlight w:val="none"/>
        </w:rPr>
        <w:t>16</w:t>
      </w:r>
      <w:r>
        <w:rPr>
          <w:highlight w:val="none"/>
        </w:rPr>
        <w:fldChar w:fldCharType="end"/>
      </w:r>
      <w:r>
        <w:rPr>
          <w:highlight w:val="none"/>
        </w:rPr>
        <w:fldChar w:fldCharType="end"/>
      </w:r>
    </w:p>
    <w:p>
      <w:pPr>
        <w:pStyle w:val="10"/>
        <w:tabs>
          <w:tab w:val="right" w:leader="dot" w:pos="9488"/>
        </w:tabs>
        <w:rPr>
          <w:rFonts w:asciiTheme="minorHAnsi" w:hAnsiTheme="minorHAnsi" w:eastAsiaTheme="minorEastAsia" w:cstheme="minorBidi"/>
          <w:b w:val="0"/>
          <w:bCs w:val="0"/>
          <w:caps w:val="0"/>
          <w:kern w:val="2"/>
          <w:sz w:val="21"/>
          <w:szCs w:val="22"/>
          <w:highlight w:val="none"/>
        </w:rPr>
      </w:pPr>
      <w:r>
        <w:rPr>
          <w:highlight w:val="none"/>
        </w:rPr>
        <w:fldChar w:fldCharType="begin"/>
      </w:r>
      <w:r>
        <w:rPr>
          <w:highlight w:val="none"/>
        </w:rPr>
        <w:instrText xml:space="preserve"> HYPERLINK \l "_Toc98942904" </w:instrText>
      </w:r>
      <w:r>
        <w:rPr>
          <w:highlight w:val="none"/>
        </w:rPr>
        <w:fldChar w:fldCharType="separate"/>
      </w:r>
      <w:r>
        <w:rPr>
          <w:rStyle w:val="14"/>
          <w:rFonts w:hint="eastAsia" w:hAnsi="宋体" w:cs="宋体"/>
          <w:highlight w:val="none"/>
        </w:rPr>
        <w:t>第六篇</w:t>
      </w:r>
      <w:r>
        <w:rPr>
          <w:rStyle w:val="14"/>
          <w:rFonts w:hint="eastAsia" w:hAnsi="宋体" w:cs="宋体"/>
          <w:highlight w:val="none"/>
          <w:lang w:eastAsia="zh-CN"/>
        </w:rPr>
        <w:t>响应文件</w:t>
      </w:r>
      <w:r>
        <w:rPr>
          <w:rStyle w:val="14"/>
          <w:rFonts w:hint="eastAsia" w:hAnsi="宋体" w:cs="宋体"/>
          <w:highlight w:val="none"/>
        </w:rPr>
        <w:t>格式要求</w:t>
      </w:r>
      <w:r>
        <w:rPr>
          <w:highlight w:val="none"/>
        </w:rPr>
        <w:tab/>
      </w:r>
      <w:r>
        <w:rPr>
          <w:highlight w:val="none"/>
        </w:rPr>
        <w:fldChar w:fldCharType="begin"/>
      </w:r>
      <w:r>
        <w:rPr>
          <w:highlight w:val="none"/>
        </w:rPr>
        <w:instrText xml:space="preserve"> PAGEREF _Toc98942904 \h </w:instrText>
      </w:r>
      <w:r>
        <w:rPr>
          <w:highlight w:val="none"/>
        </w:rPr>
        <w:fldChar w:fldCharType="separate"/>
      </w:r>
      <w:r>
        <w:rPr>
          <w:highlight w:val="none"/>
        </w:rPr>
        <w:t>17</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"_Toc98942905" </w:instrText>
      </w:r>
      <w:r>
        <w:rPr>
          <w:highlight w:val="none"/>
        </w:rPr>
        <w:fldChar w:fldCharType="separate"/>
      </w:r>
      <w:r>
        <w:rPr>
          <w:rStyle w:val="14"/>
          <w:rFonts w:hint="eastAsia"/>
          <w:highlight w:val="none"/>
        </w:rPr>
        <w:t>一、经济文件</w:t>
      </w:r>
      <w:r>
        <w:rPr>
          <w:highlight w:val="none"/>
        </w:rPr>
        <w:tab/>
      </w:r>
      <w:r>
        <w:rPr>
          <w:highlight w:val="none"/>
        </w:rPr>
        <w:fldChar w:fldCharType="begin"/>
      </w:r>
      <w:r>
        <w:rPr>
          <w:highlight w:val="none"/>
        </w:rPr>
        <w:instrText xml:space="preserve"> PAGEREF _Toc98942905 \h </w:instrText>
      </w:r>
      <w:r>
        <w:rPr>
          <w:highlight w:val="none"/>
        </w:rPr>
        <w:fldChar w:fldCharType="separate"/>
      </w:r>
      <w:r>
        <w:rPr>
          <w:highlight w:val="none"/>
        </w:rPr>
        <w:t>18</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"_Toc98942906" </w:instrText>
      </w:r>
      <w:r>
        <w:rPr>
          <w:highlight w:val="none"/>
        </w:rPr>
        <w:fldChar w:fldCharType="separate"/>
      </w:r>
      <w:r>
        <w:rPr>
          <w:rStyle w:val="14"/>
          <w:rFonts w:hint="eastAsia"/>
          <w:highlight w:val="none"/>
        </w:rPr>
        <w:t>二、技术文件</w:t>
      </w:r>
      <w:r>
        <w:rPr>
          <w:highlight w:val="none"/>
        </w:rPr>
        <w:tab/>
      </w:r>
      <w:r>
        <w:rPr>
          <w:highlight w:val="none"/>
        </w:rPr>
        <w:fldChar w:fldCharType="begin"/>
      </w:r>
      <w:r>
        <w:rPr>
          <w:highlight w:val="none"/>
        </w:rPr>
        <w:instrText xml:space="preserve"> PAGEREF _Toc98942906 \h </w:instrText>
      </w:r>
      <w:r>
        <w:rPr>
          <w:highlight w:val="none"/>
        </w:rPr>
        <w:fldChar w:fldCharType="separate"/>
      </w:r>
      <w:r>
        <w:rPr>
          <w:highlight w:val="none"/>
        </w:rPr>
        <w:t>20</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"_Toc98942907" </w:instrText>
      </w:r>
      <w:r>
        <w:rPr>
          <w:highlight w:val="none"/>
        </w:rPr>
        <w:fldChar w:fldCharType="separate"/>
      </w:r>
      <w:r>
        <w:rPr>
          <w:rStyle w:val="14"/>
          <w:rFonts w:hint="eastAsia"/>
          <w:highlight w:val="none"/>
        </w:rPr>
        <w:t>三、商务文件</w:t>
      </w:r>
      <w:r>
        <w:rPr>
          <w:highlight w:val="none"/>
        </w:rPr>
        <w:tab/>
      </w:r>
      <w:r>
        <w:rPr>
          <w:highlight w:val="none"/>
        </w:rPr>
        <w:fldChar w:fldCharType="begin"/>
      </w:r>
      <w:r>
        <w:rPr>
          <w:highlight w:val="none"/>
        </w:rPr>
        <w:instrText xml:space="preserve"> PAGEREF _Toc98942907 \h </w:instrText>
      </w:r>
      <w:r>
        <w:rPr>
          <w:highlight w:val="none"/>
        </w:rPr>
        <w:fldChar w:fldCharType="separate"/>
      </w:r>
      <w:r>
        <w:rPr>
          <w:highlight w:val="none"/>
        </w:rPr>
        <w:t>22</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"_Toc98942908" </w:instrText>
      </w:r>
      <w:r>
        <w:rPr>
          <w:highlight w:val="none"/>
        </w:rPr>
        <w:fldChar w:fldCharType="separate"/>
      </w:r>
      <w:r>
        <w:rPr>
          <w:rStyle w:val="14"/>
          <w:rFonts w:hint="eastAsia"/>
          <w:highlight w:val="none"/>
        </w:rPr>
        <w:t>四、其他与项目有关的资料（自附）</w:t>
      </w:r>
      <w:r>
        <w:rPr>
          <w:highlight w:val="none"/>
        </w:rPr>
        <w:tab/>
      </w:r>
      <w:r>
        <w:rPr>
          <w:highlight w:val="none"/>
        </w:rPr>
        <w:fldChar w:fldCharType="begin"/>
      </w:r>
      <w:r>
        <w:rPr>
          <w:highlight w:val="none"/>
        </w:rPr>
        <w:instrText xml:space="preserve"> PAGEREF _Toc98942908 \h </w:instrText>
      </w:r>
      <w:r>
        <w:rPr>
          <w:highlight w:val="none"/>
        </w:rPr>
        <w:fldChar w:fldCharType="separate"/>
      </w:r>
      <w:r>
        <w:rPr>
          <w:highlight w:val="none"/>
        </w:rPr>
        <w:t>25</w:t>
      </w:r>
      <w:r>
        <w:rPr>
          <w:highlight w:val="none"/>
        </w:rPr>
        <w:fldChar w:fldCharType="end"/>
      </w:r>
      <w:r>
        <w:rPr>
          <w:highlight w:val="none"/>
        </w:rPr>
        <w:fldChar w:fldCharType="end"/>
      </w:r>
    </w:p>
    <w:p>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"_Toc98942909" </w:instrText>
      </w:r>
      <w:r>
        <w:rPr>
          <w:highlight w:val="none"/>
        </w:rPr>
        <w:fldChar w:fldCharType="separate"/>
      </w:r>
      <w:r>
        <w:rPr>
          <w:rStyle w:val="14"/>
          <w:rFonts w:hint="eastAsia"/>
          <w:highlight w:val="none"/>
        </w:rPr>
        <w:t>五、资格文件</w:t>
      </w:r>
      <w:r>
        <w:rPr>
          <w:highlight w:val="none"/>
        </w:rPr>
        <w:tab/>
      </w:r>
      <w:r>
        <w:rPr>
          <w:highlight w:val="none"/>
        </w:rPr>
        <w:fldChar w:fldCharType="begin"/>
      </w:r>
      <w:r>
        <w:rPr>
          <w:highlight w:val="none"/>
        </w:rPr>
        <w:instrText xml:space="preserve"> PAGEREF _Toc98942909 \h </w:instrText>
      </w:r>
      <w:r>
        <w:rPr>
          <w:highlight w:val="none"/>
        </w:rPr>
        <w:fldChar w:fldCharType="separate"/>
      </w:r>
      <w:r>
        <w:rPr>
          <w:highlight w:val="none"/>
        </w:rPr>
        <w:t>26</w:t>
      </w:r>
      <w:r>
        <w:rPr>
          <w:highlight w:val="none"/>
        </w:rPr>
        <w:fldChar w:fldCharType="end"/>
      </w:r>
      <w:r>
        <w:rPr>
          <w:highlight w:val="none"/>
        </w:rPr>
        <w:fldChar w:fldCharType="end"/>
      </w:r>
    </w:p>
    <w:p>
      <w:pPr>
        <w:pStyle w:val="2"/>
        <w:rPr>
          <w:highlight w:val="none"/>
        </w:rPr>
      </w:pPr>
      <w:r>
        <w:rPr>
          <w:rFonts w:hint="eastAsia"/>
          <w:sz w:val="28"/>
          <w:szCs w:val="28"/>
          <w:highlight w:val="none"/>
        </w:rPr>
        <w:fldChar w:fldCharType="end"/>
      </w:r>
      <w:r>
        <w:rPr>
          <w:rFonts w:hint="eastAsia"/>
          <w:sz w:val="28"/>
          <w:szCs w:val="28"/>
          <w:highlight w:val="none"/>
        </w:rPr>
        <w:br w:type="page"/>
      </w:r>
      <w:bookmarkStart w:id="7" w:name="_Toc98942871"/>
      <w:r>
        <w:rPr>
          <w:rFonts w:hint="eastAsia"/>
          <w:highlight w:val="none"/>
        </w:rPr>
        <w:t>第一篇 投标邀请书</w:t>
      </w:r>
      <w:bookmarkEnd w:id="6"/>
      <w:bookmarkEnd w:id="7"/>
    </w:p>
    <w:p>
      <w:pPr>
        <w:spacing w:line="360" w:lineRule="auto"/>
        <w:ind w:firstLine="480" w:firstLineChars="200"/>
        <w:jc w:val="left"/>
        <w:rPr>
          <w:rFonts w:hAnsi="宋体" w:cs="宋体"/>
          <w:sz w:val="28"/>
          <w:szCs w:val="28"/>
          <w:highlight w:val="none"/>
        </w:rPr>
      </w:pPr>
      <w:r>
        <w:rPr>
          <w:rFonts w:hint="eastAsia" w:hAnsi="宋体" w:cs="宋体"/>
          <w:sz w:val="24"/>
          <w:szCs w:val="24"/>
          <w:highlight w:val="none"/>
        </w:rPr>
        <w:t>重庆医科大学附属口腔医院（简称“口腔医院”）对</w:t>
      </w:r>
      <w:r>
        <w:rPr>
          <w:rFonts w:hint="eastAsia" w:hAnsi="宋体" w:cs="宋体"/>
          <w:sz w:val="24"/>
          <w:szCs w:val="24"/>
          <w:highlight w:val="none"/>
          <w:lang w:val="en-US" w:eastAsia="zh-CN"/>
        </w:rPr>
        <w:t>医疗责任险</w:t>
      </w:r>
      <w:r>
        <w:rPr>
          <w:rFonts w:hint="eastAsia" w:hAnsi="宋体" w:cs="宋体"/>
          <w:sz w:val="24"/>
          <w:szCs w:val="24"/>
          <w:highlight w:val="none"/>
        </w:rPr>
        <w:t>进行采购，欢迎有资格、有实力的投标人参加</w:t>
      </w:r>
      <w:r>
        <w:rPr>
          <w:rFonts w:hint="eastAsia" w:hAnsi="宋体" w:cs="宋体"/>
          <w:sz w:val="24"/>
          <w:szCs w:val="24"/>
          <w:highlight w:val="none"/>
          <w:lang w:eastAsia="zh-CN"/>
        </w:rPr>
        <w:t>院内竞争性比选</w:t>
      </w:r>
      <w:r>
        <w:rPr>
          <w:rFonts w:hint="eastAsia" w:hAnsi="宋体" w:cs="宋体"/>
          <w:sz w:val="24"/>
          <w:szCs w:val="24"/>
          <w:highlight w:val="none"/>
        </w:rPr>
        <w:t>。</w:t>
      </w:r>
    </w:p>
    <w:p>
      <w:pPr>
        <w:pStyle w:val="3"/>
        <w:spacing w:line="360" w:lineRule="auto"/>
        <w:rPr>
          <w:rFonts w:ascii="宋体" w:hAnsi="宋体" w:cs="宋体"/>
          <w:kern w:val="0"/>
          <w:szCs w:val="28"/>
          <w:highlight w:val="none"/>
        </w:rPr>
      </w:pPr>
      <w:bookmarkStart w:id="8" w:name="_Toc98942872"/>
      <w:r>
        <w:rPr>
          <w:rFonts w:hint="eastAsia" w:ascii="宋体" w:hAnsi="宋体" w:cs="宋体"/>
          <w:bCs w:val="0"/>
          <w:kern w:val="0"/>
          <w:szCs w:val="28"/>
          <w:highlight w:val="none"/>
        </w:rPr>
        <w:t>一、项目内容</w:t>
      </w:r>
      <w:bookmarkEnd w:id="8"/>
    </w:p>
    <w:tbl>
      <w:tblPr>
        <w:tblStyle w:val="12"/>
        <w:tblpPr w:leftFromText="180" w:rightFromText="180" w:vertAnchor="text" w:tblpXSpec="center" w:tblpY="1"/>
        <w:tblOverlap w:val="never"/>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3"/>
        <w:gridCol w:w="1890"/>
        <w:gridCol w:w="1485"/>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113" w:type="dxa"/>
            <w:vAlign w:val="center"/>
          </w:tcPr>
          <w:p>
            <w:pPr>
              <w:spacing w:line="360" w:lineRule="auto"/>
              <w:jc w:val="center"/>
              <w:rPr>
                <w:rFonts w:hAnsi="宋体" w:cs="宋体"/>
                <w:b/>
                <w:bCs/>
                <w:sz w:val="24"/>
                <w:szCs w:val="24"/>
                <w:highlight w:val="none"/>
              </w:rPr>
            </w:pPr>
            <w:r>
              <w:rPr>
                <w:rFonts w:hint="eastAsia" w:hAnsi="宋体" w:cs="宋体"/>
                <w:b/>
                <w:bCs/>
                <w:sz w:val="24"/>
                <w:szCs w:val="24"/>
                <w:highlight w:val="none"/>
              </w:rPr>
              <w:t>项目名称</w:t>
            </w:r>
          </w:p>
        </w:tc>
        <w:tc>
          <w:tcPr>
            <w:tcW w:w="1890" w:type="dxa"/>
          </w:tcPr>
          <w:p>
            <w:pPr>
              <w:jc w:val="center"/>
              <w:rPr>
                <w:rFonts w:hAnsi="宋体" w:cs="宋体"/>
                <w:b/>
                <w:bCs/>
                <w:sz w:val="24"/>
                <w:szCs w:val="24"/>
                <w:highlight w:val="none"/>
              </w:rPr>
            </w:pPr>
            <w:r>
              <w:rPr>
                <w:rFonts w:hint="eastAsia" w:hAnsi="宋体" w:cs="宋体"/>
                <w:b/>
                <w:bCs/>
                <w:sz w:val="24"/>
                <w:szCs w:val="24"/>
                <w:highlight w:val="none"/>
              </w:rPr>
              <w:t>成交供应商数量（名）</w:t>
            </w:r>
          </w:p>
        </w:tc>
        <w:tc>
          <w:tcPr>
            <w:tcW w:w="1485" w:type="dxa"/>
            <w:vAlign w:val="center"/>
          </w:tcPr>
          <w:p>
            <w:pPr>
              <w:jc w:val="center"/>
              <w:rPr>
                <w:rFonts w:hAnsi="宋体" w:cs="宋体"/>
                <w:b/>
                <w:bCs/>
                <w:sz w:val="24"/>
                <w:szCs w:val="24"/>
                <w:highlight w:val="none"/>
              </w:rPr>
            </w:pPr>
            <w:r>
              <w:rPr>
                <w:rFonts w:hint="eastAsia" w:hAnsi="宋体" w:cs="宋体"/>
                <w:b/>
                <w:bCs/>
                <w:sz w:val="24"/>
                <w:szCs w:val="24"/>
                <w:highlight w:val="none"/>
              </w:rPr>
              <w:t>最高限价</w:t>
            </w:r>
          </w:p>
          <w:p>
            <w:pPr>
              <w:jc w:val="center"/>
              <w:rPr>
                <w:rFonts w:hAnsi="宋体" w:cs="宋体"/>
                <w:b/>
                <w:bCs/>
                <w:sz w:val="24"/>
                <w:szCs w:val="24"/>
                <w:highlight w:val="none"/>
              </w:rPr>
            </w:pPr>
            <w:r>
              <w:rPr>
                <w:rFonts w:hint="eastAsia" w:hAnsi="宋体" w:cs="宋体"/>
                <w:b/>
                <w:bCs/>
                <w:sz w:val="24"/>
                <w:szCs w:val="24"/>
                <w:highlight w:val="none"/>
              </w:rPr>
              <w:t>（万元）</w:t>
            </w:r>
          </w:p>
        </w:tc>
        <w:tc>
          <w:tcPr>
            <w:tcW w:w="1558" w:type="dxa"/>
            <w:vAlign w:val="center"/>
          </w:tcPr>
          <w:p>
            <w:pPr>
              <w:spacing w:line="360" w:lineRule="auto"/>
              <w:jc w:val="center"/>
              <w:rPr>
                <w:rFonts w:hAnsi="宋体" w:cs="宋体"/>
                <w:b/>
                <w:bCs/>
                <w:sz w:val="24"/>
                <w:szCs w:val="24"/>
                <w:highlight w:val="none"/>
              </w:rPr>
            </w:pPr>
            <w:r>
              <w:rPr>
                <w:rFonts w:hint="eastAsia" w:hAnsi="宋体" w:cs="宋体"/>
                <w:b/>
                <w:bCs/>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113" w:type="dxa"/>
            <w:vAlign w:val="center"/>
          </w:tcPr>
          <w:p>
            <w:pPr>
              <w:jc w:val="center"/>
              <w:rPr>
                <w:rFonts w:hAnsi="宋体" w:cs="宋体"/>
                <w:sz w:val="24"/>
                <w:szCs w:val="24"/>
                <w:highlight w:val="none"/>
              </w:rPr>
            </w:pPr>
            <w:r>
              <w:rPr>
                <w:rFonts w:hint="eastAsia" w:hAnsi="宋体" w:cs="宋体"/>
                <w:sz w:val="24"/>
                <w:szCs w:val="24"/>
                <w:highlight w:val="none"/>
              </w:rPr>
              <w:t xml:space="preserve">重庆医科大学附属口腔医院   </w:t>
            </w:r>
            <w:r>
              <w:rPr>
                <w:rFonts w:hint="eastAsia" w:hAnsi="宋体" w:cs="宋体"/>
                <w:sz w:val="24"/>
                <w:szCs w:val="24"/>
                <w:highlight w:val="none"/>
                <w:lang w:val="en-US" w:eastAsia="zh-CN"/>
              </w:rPr>
              <w:t>医疗责任险</w:t>
            </w:r>
            <w:r>
              <w:rPr>
                <w:rFonts w:hint="eastAsia" w:hAnsi="宋体" w:cs="宋体"/>
                <w:sz w:val="24"/>
                <w:szCs w:val="24"/>
                <w:highlight w:val="none"/>
              </w:rPr>
              <w:t>采购</w:t>
            </w:r>
          </w:p>
        </w:tc>
        <w:tc>
          <w:tcPr>
            <w:tcW w:w="1890" w:type="dxa"/>
            <w:vAlign w:val="center"/>
          </w:tcPr>
          <w:p>
            <w:pPr>
              <w:jc w:val="center"/>
              <w:rPr>
                <w:rFonts w:hAnsi="宋体" w:cs="宋体"/>
                <w:sz w:val="24"/>
                <w:szCs w:val="24"/>
                <w:highlight w:val="none"/>
              </w:rPr>
            </w:pPr>
            <w:r>
              <w:rPr>
                <w:rFonts w:hint="eastAsia" w:hAnsi="宋体" w:cs="宋体"/>
                <w:sz w:val="24"/>
                <w:szCs w:val="24"/>
                <w:highlight w:val="none"/>
              </w:rPr>
              <w:t>1</w:t>
            </w:r>
          </w:p>
        </w:tc>
        <w:tc>
          <w:tcPr>
            <w:tcW w:w="1485" w:type="dxa"/>
            <w:vAlign w:val="center"/>
          </w:tcPr>
          <w:p>
            <w:pPr>
              <w:jc w:val="center"/>
              <w:rPr>
                <w:rFonts w:hint="default" w:hAnsi="宋体" w:eastAsia="宋体" w:cs="宋体"/>
                <w:sz w:val="24"/>
                <w:szCs w:val="24"/>
                <w:highlight w:val="none"/>
                <w:lang w:val="en-US" w:eastAsia="zh-CN"/>
              </w:rPr>
            </w:pPr>
            <w:r>
              <w:rPr>
                <w:rFonts w:hint="eastAsia" w:hAnsi="宋体" w:cs="宋体"/>
                <w:sz w:val="24"/>
                <w:szCs w:val="24"/>
                <w:highlight w:val="none"/>
                <w:lang w:val="en-US" w:eastAsia="zh-CN"/>
              </w:rPr>
              <w:t>42</w:t>
            </w:r>
          </w:p>
        </w:tc>
        <w:tc>
          <w:tcPr>
            <w:tcW w:w="1558" w:type="dxa"/>
            <w:vAlign w:val="center"/>
          </w:tcPr>
          <w:p>
            <w:pPr>
              <w:jc w:val="center"/>
              <w:rPr>
                <w:rFonts w:hAnsi="宋体" w:cs="宋体"/>
                <w:sz w:val="24"/>
                <w:szCs w:val="24"/>
                <w:highlight w:val="none"/>
              </w:rPr>
            </w:pPr>
          </w:p>
        </w:tc>
      </w:tr>
    </w:tbl>
    <w:p>
      <w:pPr>
        <w:spacing w:line="360" w:lineRule="auto"/>
        <w:ind w:firstLine="560" w:firstLineChars="200"/>
        <w:rPr>
          <w:rFonts w:hAnsi="宋体" w:cs="宋体"/>
          <w:sz w:val="28"/>
          <w:szCs w:val="28"/>
          <w:highlight w:val="none"/>
        </w:rPr>
      </w:pPr>
    </w:p>
    <w:p>
      <w:pPr>
        <w:rPr>
          <w:highlight w:val="none"/>
        </w:rPr>
      </w:pPr>
    </w:p>
    <w:p>
      <w:pPr>
        <w:rPr>
          <w:highlight w:val="none"/>
        </w:rPr>
      </w:pPr>
    </w:p>
    <w:p>
      <w:pPr>
        <w:rPr>
          <w:sz w:val="28"/>
          <w:szCs w:val="28"/>
          <w:highlight w:val="none"/>
        </w:rPr>
      </w:pPr>
      <w:bookmarkStart w:id="9" w:name="_Toc98942873"/>
      <w:r>
        <w:rPr>
          <w:rStyle w:val="15"/>
          <w:rFonts w:hint="eastAsia"/>
          <w:highlight w:val="none"/>
        </w:rPr>
        <w:t>二、资金来源</w:t>
      </w:r>
      <w:bookmarkEnd w:id="9"/>
      <w:r>
        <w:rPr>
          <w:rFonts w:hint="eastAsia"/>
          <w:highlight w:val="none"/>
        </w:rPr>
        <w:t>：</w:t>
      </w:r>
      <w:r>
        <w:rPr>
          <w:rFonts w:hint="eastAsia"/>
          <w:sz w:val="28"/>
          <w:szCs w:val="28"/>
          <w:highlight w:val="none"/>
        </w:rPr>
        <w:t>医院自筹</w:t>
      </w:r>
    </w:p>
    <w:p>
      <w:pPr>
        <w:rPr>
          <w:rFonts w:hint="eastAsia" w:eastAsia="宋体"/>
          <w:sz w:val="28"/>
          <w:szCs w:val="28"/>
          <w:highlight w:val="none"/>
          <w:lang w:val="en-US" w:eastAsia="zh-CN"/>
        </w:rPr>
      </w:pPr>
      <w:bookmarkStart w:id="10" w:name="_Toc98942874"/>
      <w:r>
        <w:rPr>
          <w:rStyle w:val="15"/>
          <w:rFonts w:hint="eastAsia"/>
          <w:szCs w:val="28"/>
          <w:highlight w:val="none"/>
        </w:rPr>
        <w:t>三、采购方式</w:t>
      </w:r>
      <w:bookmarkEnd w:id="10"/>
      <w:r>
        <w:rPr>
          <w:rFonts w:hint="eastAsia"/>
          <w:sz w:val="28"/>
          <w:szCs w:val="28"/>
          <w:highlight w:val="none"/>
        </w:rPr>
        <w:t>：院内</w:t>
      </w:r>
      <w:r>
        <w:rPr>
          <w:rFonts w:hint="eastAsia"/>
          <w:sz w:val="28"/>
          <w:szCs w:val="28"/>
          <w:highlight w:val="none"/>
          <w:lang w:eastAsia="zh-CN"/>
        </w:rPr>
        <w:t>竞争性比选</w:t>
      </w:r>
    </w:p>
    <w:p>
      <w:pPr>
        <w:pStyle w:val="3"/>
        <w:rPr>
          <w:highlight w:val="none"/>
        </w:rPr>
      </w:pPr>
      <w:bookmarkStart w:id="11" w:name="_Toc98942875"/>
      <w:r>
        <w:rPr>
          <w:rFonts w:hint="eastAsia"/>
          <w:highlight w:val="none"/>
        </w:rPr>
        <w:t>四、投标人资格要求</w:t>
      </w:r>
      <w:bookmarkEnd w:id="11"/>
    </w:p>
    <w:p>
      <w:pPr>
        <w:spacing w:line="360" w:lineRule="auto"/>
        <w:ind w:firstLine="480"/>
        <w:jc w:val="left"/>
        <w:rPr>
          <w:rFonts w:hAnsi="宋体" w:cs="宋体"/>
          <w:sz w:val="24"/>
          <w:szCs w:val="24"/>
          <w:highlight w:val="none"/>
        </w:rPr>
      </w:pPr>
      <w:r>
        <w:rPr>
          <w:rFonts w:hint="eastAsia" w:hAnsi="宋体" w:cs="宋体"/>
          <w:sz w:val="24"/>
          <w:szCs w:val="24"/>
          <w:highlight w:val="none"/>
        </w:rPr>
        <w:t>（一）基本资格条件</w:t>
      </w:r>
    </w:p>
    <w:p>
      <w:pPr>
        <w:spacing w:line="360" w:lineRule="auto"/>
        <w:ind w:firstLine="480"/>
        <w:rPr>
          <w:rFonts w:hAnsi="宋体" w:cs="宋体"/>
          <w:sz w:val="24"/>
          <w:szCs w:val="24"/>
          <w:highlight w:val="none"/>
        </w:rPr>
      </w:pPr>
      <w:r>
        <w:rPr>
          <w:rFonts w:hint="eastAsia" w:hAnsi="宋体" w:cs="宋体"/>
          <w:sz w:val="24"/>
          <w:szCs w:val="24"/>
          <w:highlight w:val="none"/>
        </w:rPr>
        <w:t>1.具有独立承担民事责任的能力；</w:t>
      </w:r>
    </w:p>
    <w:p>
      <w:pPr>
        <w:spacing w:line="360" w:lineRule="auto"/>
        <w:ind w:firstLine="480"/>
        <w:rPr>
          <w:rFonts w:hAnsi="宋体" w:cs="宋体"/>
          <w:sz w:val="24"/>
          <w:szCs w:val="24"/>
          <w:highlight w:val="none"/>
        </w:rPr>
      </w:pPr>
      <w:r>
        <w:rPr>
          <w:rFonts w:hint="eastAsia" w:hAnsi="宋体" w:cs="宋体"/>
          <w:sz w:val="24"/>
          <w:szCs w:val="24"/>
          <w:highlight w:val="none"/>
        </w:rPr>
        <w:t>2.具有良好的商业信誉和健全的财务会计制度；</w:t>
      </w:r>
      <w:bookmarkStart w:id="112" w:name="_GoBack"/>
      <w:bookmarkEnd w:id="112"/>
    </w:p>
    <w:p>
      <w:pPr>
        <w:spacing w:line="360" w:lineRule="auto"/>
        <w:ind w:firstLine="480"/>
        <w:rPr>
          <w:rFonts w:hAnsi="宋体" w:cs="宋体"/>
          <w:b/>
          <w:sz w:val="24"/>
          <w:szCs w:val="24"/>
          <w:highlight w:val="none"/>
        </w:rPr>
      </w:pPr>
      <w:r>
        <w:rPr>
          <w:rFonts w:hint="eastAsia" w:hAnsi="宋体" w:cs="宋体"/>
          <w:sz w:val="24"/>
          <w:szCs w:val="24"/>
          <w:highlight w:val="none"/>
        </w:rPr>
        <w:t>3.具有履行合同所必需的设备和专业技术能力；</w:t>
      </w:r>
    </w:p>
    <w:p>
      <w:pPr>
        <w:spacing w:line="360" w:lineRule="auto"/>
        <w:ind w:firstLine="480"/>
        <w:rPr>
          <w:rFonts w:hAnsi="宋体" w:cs="宋体"/>
          <w:sz w:val="24"/>
          <w:szCs w:val="24"/>
          <w:highlight w:val="none"/>
        </w:rPr>
      </w:pPr>
      <w:r>
        <w:rPr>
          <w:rFonts w:hint="eastAsia" w:hAnsi="宋体" w:cs="宋体"/>
          <w:sz w:val="24"/>
          <w:szCs w:val="24"/>
          <w:highlight w:val="none"/>
        </w:rPr>
        <w:t>4.有依法缴纳税收和社会保障资金的良好记录；</w:t>
      </w:r>
    </w:p>
    <w:p>
      <w:pPr>
        <w:spacing w:line="360" w:lineRule="auto"/>
        <w:ind w:firstLine="480"/>
        <w:rPr>
          <w:rFonts w:hAnsi="宋体" w:cs="宋体"/>
          <w:sz w:val="24"/>
          <w:szCs w:val="24"/>
          <w:highlight w:val="none"/>
        </w:rPr>
      </w:pPr>
      <w:r>
        <w:rPr>
          <w:rFonts w:hint="eastAsia" w:hAnsi="宋体" w:cs="宋体"/>
          <w:sz w:val="24"/>
          <w:szCs w:val="24"/>
          <w:highlight w:val="none"/>
        </w:rPr>
        <w:t>5.参加采购活动前三年内，在经营活动中没有重大违法记录；</w:t>
      </w:r>
    </w:p>
    <w:p>
      <w:pPr>
        <w:spacing w:line="360" w:lineRule="auto"/>
        <w:ind w:firstLine="480"/>
        <w:rPr>
          <w:rFonts w:hAnsi="宋体" w:cs="宋体"/>
          <w:sz w:val="24"/>
          <w:szCs w:val="24"/>
          <w:highlight w:val="none"/>
        </w:rPr>
      </w:pPr>
      <w:r>
        <w:rPr>
          <w:rFonts w:hint="eastAsia" w:hAnsi="宋体" w:cs="宋体"/>
          <w:sz w:val="24"/>
          <w:szCs w:val="24"/>
          <w:highlight w:val="none"/>
        </w:rPr>
        <w:t>6.法律、行政法规规定的其他条件。</w:t>
      </w:r>
    </w:p>
    <w:p>
      <w:pPr>
        <w:spacing w:line="360" w:lineRule="auto"/>
        <w:ind w:firstLine="480"/>
        <w:rPr>
          <w:rFonts w:hAnsi="宋体" w:cs="宋体"/>
          <w:sz w:val="24"/>
          <w:szCs w:val="24"/>
          <w:highlight w:val="none"/>
        </w:rPr>
      </w:pPr>
      <w:r>
        <w:rPr>
          <w:rFonts w:hint="eastAsia" w:hAnsi="宋体" w:cs="宋体"/>
          <w:sz w:val="24"/>
          <w:szCs w:val="24"/>
          <w:highlight w:val="none"/>
        </w:rPr>
        <w:t>（二）特定资格要求：</w:t>
      </w:r>
    </w:p>
    <w:p>
      <w:pPr>
        <w:spacing w:line="360" w:lineRule="auto"/>
        <w:ind w:firstLine="480"/>
        <w:rPr>
          <w:rFonts w:hint="default" w:hAnsi="宋体" w:eastAsia="宋体" w:cs="宋体"/>
          <w:color w:val="FF0000"/>
          <w:sz w:val="24"/>
          <w:szCs w:val="24"/>
          <w:highlight w:val="none"/>
          <w:lang w:val="en-US" w:eastAsia="zh-CN"/>
        </w:rPr>
      </w:pPr>
      <w:r>
        <w:rPr>
          <w:rFonts w:hint="eastAsia" w:hAnsi="宋体" w:cs="宋体"/>
          <w:color w:val="000000" w:themeColor="text1"/>
          <w:sz w:val="28"/>
          <w:szCs w:val="28"/>
          <w:highlight w:val="none"/>
          <w14:textFill>
            <w14:solidFill>
              <w14:schemeClr w14:val="tx1"/>
            </w14:solidFill>
          </w14:textFill>
        </w:rPr>
        <w:t xml:space="preserve"> </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投标人具有银行保险监督管理委员会颁发的《中华人民共和国经营保险业务许可证》或经营保险业务许可证；（提供证书复印件）</w:t>
      </w:r>
      <w:r>
        <w:rPr>
          <w:rFonts w:hint="eastAsia" w:ascii="宋体" w:hAnsi="宋体" w:eastAsia="宋体" w:cs="宋体"/>
          <w:sz w:val="24"/>
          <w:szCs w:val="24"/>
          <w:highlight w:val="none"/>
        </w:rPr>
        <w:cr/>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若投标人是商业保险集团（总公司）授权的分公司参与投标，只接受商业保险集团（总公司）授权的一家分公司参与投标。（提供授权书原件或复印件）</w:t>
      </w:r>
    </w:p>
    <w:p>
      <w:pPr>
        <w:spacing w:line="360" w:lineRule="auto"/>
        <w:rPr>
          <w:highlight w:val="none"/>
        </w:rPr>
      </w:pPr>
      <w:bookmarkStart w:id="12" w:name="_Toc98942876"/>
      <w:r>
        <w:rPr>
          <w:rFonts w:hint="eastAsia"/>
          <w:highlight w:val="none"/>
        </w:rPr>
        <w:t>五、</w:t>
      </w:r>
      <w:r>
        <w:rPr>
          <w:rFonts w:hint="eastAsia"/>
          <w:highlight w:val="none"/>
          <w:lang w:eastAsia="zh-CN"/>
        </w:rPr>
        <w:t>比选文件</w:t>
      </w:r>
      <w:r>
        <w:rPr>
          <w:rFonts w:hint="eastAsia"/>
          <w:highlight w:val="none"/>
        </w:rPr>
        <w:t>获取及投标时间要求</w:t>
      </w:r>
      <w:bookmarkEnd w:id="12"/>
    </w:p>
    <w:p>
      <w:pPr>
        <w:spacing w:line="360" w:lineRule="auto"/>
        <w:ind w:firstLine="480"/>
        <w:rPr>
          <w:rFonts w:hAnsi="宋体" w:cs="宋体"/>
          <w:sz w:val="24"/>
          <w:szCs w:val="24"/>
          <w:highlight w:val="none"/>
        </w:rPr>
      </w:pPr>
      <w:r>
        <w:rPr>
          <w:rFonts w:hint="eastAsia" w:hAnsi="宋体" w:cs="宋体"/>
          <w:sz w:val="24"/>
          <w:szCs w:val="24"/>
          <w:highlight w:val="none"/>
        </w:rPr>
        <w:t>（一）凡愿意参加投标的投标人，请自行在“行采家”或“重庆医科大学附属口腔医院”或“中国采购招标网”下载</w:t>
      </w:r>
      <w:r>
        <w:rPr>
          <w:rFonts w:hint="eastAsia" w:hAnsi="宋体" w:cs="宋体"/>
          <w:sz w:val="24"/>
          <w:szCs w:val="24"/>
          <w:highlight w:val="none"/>
          <w:lang w:eastAsia="zh-CN"/>
        </w:rPr>
        <w:t>竞争性比选文件</w:t>
      </w:r>
      <w:r>
        <w:rPr>
          <w:rFonts w:hint="eastAsia" w:hAnsi="宋体" w:cs="宋体"/>
          <w:sz w:val="24"/>
          <w:szCs w:val="24"/>
          <w:highlight w:val="none"/>
        </w:rPr>
        <w:t>，</w:t>
      </w:r>
      <w:r>
        <w:rPr>
          <w:rFonts w:hint="eastAsia" w:hAnsi="宋体" w:cs="宋体"/>
          <w:sz w:val="24"/>
          <w:szCs w:val="24"/>
          <w:highlight w:val="none"/>
          <w:lang w:eastAsia="zh-CN"/>
        </w:rPr>
        <w:t>竞争性比选文件</w:t>
      </w:r>
      <w:r>
        <w:rPr>
          <w:rFonts w:hint="eastAsia" w:hAnsi="宋体" w:cs="宋体"/>
          <w:sz w:val="24"/>
          <w:szCs w:val="24"/>
          <w:highlight w:val="none"/>
        </w:rPr>
        <w:t>及补遗等开标前公布的所有项目资料，无论投标人下载与否，均视为已知晓所有招标内容。本项目无需报名及购买</w:t>
      </w:r>
      <w:r>
        <w:rPr>
          <w:rFonts w:hint="eastAsia" w:hAnsi="宋体" w:cs="宋体"/>
          <w:sz w:val="24"/>
          <w:szCs w:val="24"/>
          <w:highlight w:val="none"/>
          <w:lang w:eastAsia="zh-CN"/>
        </w:rPr>
        <w:t>竞争性比选文件</w:t>
      </w:r>
      <w:r>
        <w:rPr>
          <w:rFonts w:hint="eastAsia" w:hAnsi="宋体" w:cs="宋体"/>
          <w:sz w:val="24"/>
          <w:szCs w:val="24"/>
          <w:highlight w:val="none"/>
        </w:rPr>
        <w:t>。获取文件期限:202</w:t>
      </w:r>
      <w:r>
        <w:rPr>
          <w:rFonts w:hint="eastAsia" w:hAnsi="宋体" w:cs="宋体"/>
          <w:sz w:val="24"/>
          <w:szCs w:val="24"/>
          <w:highlight w:val="none"/>
          <w:lang w:val="en-US" w:eastAsia="zh-CN"/>
        </w:rPr>
        <w:t>4</w:t>
      </w:r>
      <w:r>
        <w:rPr>
          <w:rFonts w:hint="eastAsia" w:hAnsi="宋体" w:cs="宋体"/>
          <w:sz w:val="24"/>
          <w:szCs w:val="24"/>
          <w:highlight w:val="none"/>
        </w:rPr>
        <w:t>年</w:t>
      </w:r>
      <w:r>
        <w:rPr>
          <w:rFonts w:hint="eastAsia" w:hAnsi="宋体" w:cs="宋体"/>
          <w:sz w:val="24"/>
          <w:szCs w:val="24"/>
          <w:highlight w:val="none"/>
          <w:lang w:val="en-US" w:eastAsia="zh-CN"/>
        </w:rPr>
        <w:t>9</w:t>
      </w:r>
      <w:r>
        <w:rPr>
          <w:rFonts w:hint="eastAsia" w:hAnsi="宋体" w:cs="宋体"/>
          <w:sz w:val="24"/>
          <w:szCs w:val="24"/>
          <w:highlight w:val="none"/>
        </w:rPr>
        <w:t>月</w:t>
      </w:r>
      <w:r>
        <w:rPr>
          <w:rFonts w:hint="eastAsia" w:hAnsi="宋体" w:cs="宋体"/>
          <w:sz w:val="24"/>
          <w:szCs w:val="24"/>
          <w:highlight w:val="none"/>
          <w:lang w:val="en-US" w:eastAsia="zh-CN"/>
        </w:rPr>
        <w:t>12</w:t>
      </w:r>
      <w:r>
        <w:rPr>
          <w:rFonts w:hint="eastAsia" w:hAnsi="宋体" w:cs="宋体"/>
          <w:sz w:val="24"/>
          <w:szCs w:val="24"/>
          <w:highlight w:val="none"/>
        </w:rPr>
        <w:t>日 9：00至 202</w:t>
      </w:r>
      <w:r>
        <w:rPr>
          <w:rFonts w:hint="eastAsia" w:hAnsi="宋体" w:cs="宋体"/>
          <w:sz w:val="24"/>
          <w:szCs w:val="24"/>
          <w:highlight w:val="none"/>
          <w:lang w:val="en-US" w:eastAsia="zh-CN"/>
        </w:rPr>
        <w:t>4</w:t>
      </w:r>
      <w:r>
        <w:rPr>
          <w:rFonts w:hint="eastAsia" w:hAnsi="宋体" w:cs="宋体"/>
          <w:sz w:val="24"/>
          <w:szCs w:val="24"/>
          <w:highlight w:val="none"/>
        </w:rPr>
        <w:t>年</w:t>
      </w:r>
      <w:r>
        <w:rPr>
          <w:rFonts w:hint="eastAsia" w:hAnsi="宋体" w:cs="宋体"/>
          <w:sz w:val="24"/>
          <w:szCs w:val="24"/>
          <w:highlight w:val="none"/>
          <w:lang w:val="en-US" w:eastAsia="zh-CN"/>
        </w:rPr>
        <w:t>9</w:t>
      </w:r>
      <w:r>
        <w:rPr>
          <w:rFonts w:hint="eastAsia" w:hAnsi="宋体" w:cs="宋体"/>
          <w:sz w:val="24"/>
          <w:szCs w:val="24"/>
          <w:highlight w:val="none"/>
        </w:rPr>
        <w:t>月</w:t>
      </w:r>
      <w:r>
        <w:rPr>
          <w:rFonts w:hint="eastAsia" w:hAnsi="宋体" w:cs="宋体"/>
          <w:sz w:val="24"/>
          <w:szCs w:val="24"/>
          <w:highlight w:val="none"/>
          <w:lang w:val="en-US" w:eastAsia="zh-CN"/>
        </w:rPr>
        <w:t>19</w:t>
      </w:r>
      <w:r>
        <w:rPr>
          <w:rFonts w:hint="eastAsia" w:hAnsi="宋体" w:cs="宋体"/>
          <w:sz w:val="24"/>
          <w:szCs w:val="24"/>
          <w:highlight w:val="none"/>
        </w:rPr>
        <w:t>日 17:30。</w:t>
      </w:r>
    </w:p>
    <w:p>
      <w:pPr>
        <w:spacing w:line="360" w:lineRule="auto"/>
        <w:ind w:firstLine="480"/>
        <w:rPr>
          <w:rFonts w:hAnsi="宋体" w:cs="宋体"/>
          <w:sz w:val="24"/>
          <w:szCs w:val="24"/>
          <w:highlight w:val="none"/>
        </w:rPr>
      </w:pPr>
      <w:r>
        <w:rPr>
          <w:rFonts w:hint="eastAsia" w:hAnsi="宋体" w:cs="宋体"/>
          <w:sz w:val="24"/>
          <w:szCs w:val="24"/>
          <w:highlight w:val="none"/>
        </w:rPr>
        <w:t>（二）投标人应当按照</w:t>
      </w:r>
      <w:r>
        <w:rPr>
          <w:rFonts w:hint="eastAsia" w:hAnsi="宋体" w:cs="宋体"/>
          <w:sz w:val="24"/>
          <w:szCs w:val="24"/>
          <w:highlight w:val="none"/>
          <w:lang w:eastAsia="zh-CN"/>
        </w:rPr>
        <w:t>竞争性比选文件</w:t>
      </w:r>
      <w:r>
        <w:rPr>
          <w:rFonts w:hint="eastAsia" w:hAnsi="宋体" w:cs="宋体"/>
          <w:sz w:val="24"/>
          <w:szCs w:val="24"/>
          <w:highlight w:val="none"/>
        </w:rPr>
        <w:t>的要求编制</w:t>
      </w:r>
      <w:r>
        <w:rPr>
          <w:rFonts w:hint="eastAsia" w:hAnsi="宋体" w:cs="宋体"/>
          <w:sz w:val="24"/>
          <w:szCs w:val="24"/>
          <w:highlight w:val="none"/>
          <w:lang w:eastAsia="zh-CN"/>
        </w:rPr>
        <w:t>响应文件</w:t>
      </w:r>
      <w:r>
        <w:rPr>
          <w:rFonts w:hint="eastAsia" w:hAnsi="宋体" w:cs="宋体"/>
          <w:sz w:val="24"/>
          <w:szCs w:val="24"/>
          <w:highlight w:val="none"/>
        </w:rPr>
        <w:t>，并对</w:t>
      </w:r>
      <w:r>
        <w:rPr>
          <w:rFonts w:hint="eastAsia" w:hAnsi="宋体" w:cs="宋体"/>
          <w:sz w:val="24"/>
          <w:szCs w:val="24"/>
          <w:highlight w:val="none"/>
          <w:lang w:eastAsia="zh-CN"/>
        </w:rPr>
        <w:t>竞争性比选文件</w:t>
      </w:r>
      <w:r>
        <w:rPr>
          <w:rFonts w:hint="eastAsia" w:hAnsi="宋体" w:cs="宋体"/>
          <w:sz w:val="24"/>
          <w:szCs w:val="24"/>
          <w:highlight w:val="none"/>
        </w:rPr>
        <w:t>提出的要求和条件作出实质性响应，</w:t>
      </w:r>
      <w:r>
        <w:rPr>
          <w:rFonts w:hint="eastAsia" w:hAnsi="宋体" w:cs="宋体"/>
          <w:sz w:val="24"/>
          <w:szCs w:val="24"/>
          <w:highlight w:val="none"/>
          <w:lang w:eastAsia="zh-CN"/>
        </w:rPr>
        <w:t>响应文件</w:t>
      </w:r>
      <w:r>
        <w:rPr>
          <w:rFonts w:hint="eastAsia" w:hAnsi="宋体" w:cs="宋体"/>
          <w:sz w:val="24"/>
          <w:szCs w:val="24"/>
          <w:highlight w:val="none"/>
        </w:rPr>
        <w:t>须采用软面胶装（不得采用穿孔式、文件夹式活页装订），同时应编制完整的封面、页码、目录。</w:t>
      </w:r>
    </w:p>
    <w:p>
      <w:pPr>
        <w:spacing w:line="360" w:lineRule="auto"/>
        <w:ind w:firstLine="480"/>
        <w:rPr>
          <w:rFonts w:hAnsi="宋体" w:cs="宋体"/>
          <w:sz w:val="24"/>
          <w:szCs w:val="24"/>
          <w:highlight w:val="none"/>
        </w:rPr>
      </w:pPr>
      <w:r>
        <w:rPr>
          <w:rFonts w:hint="eastAsia" w:hAnsi="宋体" w:cs="宋体"/>
          <w:sz w:val="24"/>
          <w:szCs w:val="24"/>
          <w:highlight w:val="none"/>
        </w:rPr>
        <w:t>（三）投标书正本、副本各一份，均需有法定代表人（或法人代表）签章和单位盖章，</w:t>
      </w:r>
      <w:r>
        <w:rPr>
          <w:rFonts w:hint="eastAsia" w:hAnsi="宋体" w:cs="宋体"/>
          <w:sz w:val="24"/>
          <w:szCs w:val="24"/>
          <w:highlight w:val="none"/>
          <w:lang w:eastAsia="zh-CN"/>
        </w:rPr>
        <w:t>响应文件</w:t>
      </w:r>
      <w:r>
        <w:rPr>
          <w:rFonts w:hint="eastAsia" w:hAnsi="宋体" w:cs="宋体"/>
          <w:sz w:val="24"/>
          <w:szCs w:val="24"/>
          <w:highlight w:val="none"/>
        </w:rPr>
        <w:t>的正本、副本均应密封送达投标地点。若正本、副本分别进行密封，应在封套上注明“正本”、“副本”字样。副本为正本的完整复印件，与正本不一致时以正本为准。注：标书密封的外封套上必须注明投标项目名称、投标公司名称、联系人姓名及电话。</w:t>
      </w:r>
    </w:p>
    <w:p>
      <w:pPr>
        <w:spacing w:line="360" w:lineRule="auto"/>
        <w:ind w:firstLine="480"/>
        <w:rPr>
          <w:rFonts w:hAnsi="宋体" w:cs="宋体"/>
          <w:sz w:val="24"/>
          <w:szCs w:val="24"/>
          <w:highlight w:val="none"/>
        </w:rPr>
      </w:pPr>
      <w:r>
        <w:rPr>
          <w:rFonts w:hint="eastAsia" w:hAnsi="宋体" w:cs="宋体"/>
          <w:sz w:val="24"/>
          <w:szCs w:val="24"/>
          <w:highlight w:val="none"/>
        </w:rPr>
        <w:t>（四）所有投标书应于202</w:t>
      </w:r>
      <w:r>
        <w:rPr>
          <w:rFonts w:hint="eastAsia" w:hAnsi="宋体" w:cs="宋体"/>
          <w:sz w:val="24"/>
          <w:szCs w:val="24"/>
          <w:highlight w:val="none"/>
          <w:lang w:val="en-US" w:eastAsia="zh-CN"/>
        </w:rPr>
        <w:t>4</w:t>
      </w:r>
      <w:r>
        <w:rPr>
          <w:rFonts w:hint="eastAsia" w:hAnsi="宋体" w:cs="宋体"/>
          <w:sz w:val="24"/>
          <w:szCs w:val="24"/>
          <w:highlight w:val="none"/>
        </w:rPr>
        <w:t>年</w:t>
      </w:r>
      <w:r>
        <w:rPr>
          <w:rFonts w:hint="eastAsia" w:hAnsi="宋体" w:cs="宋体"/>
          <w:sz w:val="24"/>
          <w:szCs w:val="24"/>
          <w:highlight w:val="none"/>
          <w:lang w:val="en-US" w:eastAsia="zh-CN"/>
        </w:rPr>
        <w:t>9</w:t>
      </w:r>
      <w:r>
        <w:rPr>
          <w:rFonts w:hint="eastAsia" w:hAnsi="宋体" w:cs="宋体"/>
          <w:sz w:val="24"/>
          <w:szCs w:val="24"/>
          <w:highlight w:val="none"/>
        </w:rPr>
        <w:t>月</w:t>
      </w:r>
      <w:r>
        <w:rPr>
          <w:rFonts w:hint="eastAsia" w:hAnsi="宋体" w:cs="宋体"/>
          <w:sz w:val="24"/>
          <w:szCs w:val="24"/>
          <w:highlight w:val="none"/>
          <w:lang w:val="en-US" w:eastAsia="zh-CN"/>
        </w:rPr>
        <w:t>12</w:t>
      </w:r>
      <w:r>
        <w:rPr>
          <w:rFonts w:hint="eastAsia" w:hAnsi="宋体" w:cs="宋体"/>
          <w:sz w:val="24"/>
          <w:szCs w:val="24"/>
          <w:highlight w:val="none"/>
        </w:rPr>
        <w:t>日 9：00至 202</w:t>
      </w:r>
      <w:r>
        <w:rPr>
          <w:rFonts w:hint="eastAsia" w:hAnsi="宋体" w:cs="宋体"/>
          <w:sz w:val="24"/>
          <w:szCs w:val="24"/>
          <w:highlight w:val="none"/>
          <w:lang w:val="en-US" w:eastAsia="zh-CN"/>
        </w:rPr>
        <w:t>4</w:t>
      </w:r>
      <w:r>
        <w:rPr>
          <w:rFonts w:hint="eastAsia" w:hAnsi="宋体" w:cs="宋体"/>
          <w:sz w:val="24"/>
          <w:szCs w:val="24"/>
          <w:highlight w:val="none"/>
        </w:rPr>
        <w:t>年</w:t>
      </w:r>
      <w:r>
        <w:rPr>
          <w:rFonts w:hint="eastAsia" w:hAnsi="宋体" w:cs="宋体"/>
          <w:sz w:val="24"/>
          <w:szCs w:val="24"/>
          <w:highlight w:val="none"/>
          <w:lang w:val="en-US" w:eastAsia="zh-CN"/>
        </w:rPr>
        <w:t>9</w:t>
      </w:r>
      <w:r>
        <w:rPr>
          <w:rFonts w:hint="eastAsia" w:hAnsi="宋体" w:cs="宋体"/>
          <w:sz w:val="24"/>
          <w:szCs w:val="24"/>
          <w:highlight w:val="none"/>
        </w:rPr>
        <w:t>月</w:t>
      </w:r>
      <w:r>
        <w:rPr>
          <w:rFonts w:hint="eastAsia" w:hAnsi="宋体" w:cs="宋体"/>
          <w:sz w:val="24"/>
          <w:szCs w:val="24"/>
          <w:highlight w:val="none"/>
          <w:lang w:val="en-US" w:eastAsia="zh-CN"/>
        </w:rPr>
        <w:t>19</w:t>
      </w:r>
      <w:r>
        <w:rPr>
          <w:rFonts w:hint="eastAsia" w:hAnsi="宋体" w:cs="宋体"/>
          <w:sz w:val="24"/>
          <w:szCs w:val="24"/>
          <w:highlight w:val="none"/>
        </w:rPr>
        <w:t>日17:30(工作时间)递交到重庆医科大学附属口腔医院(重庆渝北区松石北路426号)综合楼</w:t>
      </w:r>
      <w:r>
        <w:rPr>
          <w:rFonts w:hint="eastAsia" w:hAnsi="宋体" w:cs="宋体"/>
          <w:sz w:val="24"/>
          <w:szCs w:val="24"/>
          <w:highlight w:val="none"/>
          <w:lang w:eastAsia="zh-CN"/>
        </w:rPr>
        <w:t>七楼审计科</w:t>
      </w:r>
      <w:r>
        <w:rPr>
          <w:rFonts w:hint="eastAsia" w:hAnsi="宋体" w:cs="宋体"/>
          <w:sz w:val="24"/>
          <w:szCs w:val="24"/>
          <w:highlight w:val="none"/>
        </w:rPr>
        <w:t>（须密封盖章）。邮寄标书的以快递送达口腔医院并签收的日期为准（收件人：</w:t>
      </w:r>
      <w:r>
        <w:rPr>
          <w:rFonts w:hint="eastAsia" w:hAnsi="宋体" w:cs="宋体"/>
          <w:sz w:val="24"/>
          <w:szCs w:val="24"/>
          <w:highlight w:val="none"/>
          <w:lang w:eastAsia="zh-CN"/>
        </w:rPr>
        <w:t>审计科</w:t>
      </w:r>
      <w:r>
        <w:rPr>
          <w:rFonts w:hint="eastAsia" w:hAnsi="宋体" w:cs="宋体"/>
          <w:sz w:val="24"/>
          <w:szCs w:val="24"/>
          <w:highlight w:val="none"/>
        </w:rPr>
        <w:t xml:space="preserve"> </w:t>
      </w:r>
      <w:r>
        <w:rPr>
          <w:rFonts w:hint="eastAsia" w:hAnsi="宋体" w:cs="宋体"/>
          <w:sz w:val="24"/>
          <w:szCs w:val="24"/>
          <w:highlight w:val="none"/>
          <w:lang w:eastAsia="zh-CN"/>
        </w:rPr>
        <w:t>李</w:t>
      </w:r>
      <w:r>
        <w:rPr>
          <w:rFonts w:hint="eastAsia" w:hAnsi="宋体" w:cs="宋体"/>
          <w:sz w:val="24"/>
          <w:szCs w:val="24"/>
          <w:highlight w:val="none"/>
        </w:rPr>
        <w:t xml:space="preserve">老师 </w:t>
      </w:r>
      <w:r>
        <w:rPr>
          <w:rFonts w:hint="eastAsia" w:hAnsi="宋体" w:cs="宋体"/>
          <w:sz w:val="24"/>
          <w:szCs w:val="24"/>
          <w:highlight w:val="none"/>
        </w:rPr>
        <w:t>88602318</w:t>
      </w:r>
      <w:r>
        <w:rPr>
          <w:rFonts w:hint="eastAsia" w:hAnsi="宋体" w:cs="宋体"/>
          <w:sz w:val="24"/>
          <w:szCs w:val="24"/>
          <w:highlight w:val="none"/>
        </w:rPr>
        <w:t>）。逾期送达的</w:t>
      </w:r>
      <w:r>
        <w:rPr>
          <w:rFonts w:hint="eastAsia" w:hAnsi="宋体" w:cs="宋体"/>
          <w:sz w:val="24"/>
          <w:szCs w:val="24"/>
          <w:highlight w:val="none"/>
          <w:lang w:eastAsia="zh-CN"/>
        </w:rPr>
        <w:t>响应文件</w:t>
      </w:r>
      <w:r>
        <w:rPr>
          <w:rFonts w:hint="eastAsia" w:hAnsi="宋体" w:cs="宋体"/>
          <w:sz w:val="24"/>
          <w:szCs w:val="24"/>
          <w:highlight w:val="none"/>
        </w:rPr>
        <w:t>，将不予受理。</w:t>
      </w:r>
    </w:p>
    <w:p>
      <w:pPr>
        <w:spacing w:line="360" w:lineRule="auto"/>
        <w:ind w:firstLine="480"/>
        <w:rPr>
          <w:rFonts w:hAnsi="宋体" w:cs="宋体"/>
          <w:sz w:val="24"/>
          <w:szCs w:val="24"/>
          <w:highlight w:val="none"/>
        </w:rPr>
      </w:pPr>
      <w:r>
        <w:rPr>
          <w:rFonts w:hint="eastAsia" w:hAnsi="宋体" w:cs="宋体"/>
          <w:sz w:val="24"/>
          <w:szCs w:val="24"/>
          <w:highlight w:val="none"/>
        </w:rPr>
        <w:t>（五）</w:t>
      </w:r>
      <w:r>
        <w:rPr>
          <w:rFonts w:hint="eastAsia" w:hAnsi="宋体" w:cs="宋体"/>
          <w:sz w:val="24"/>
          <w:szCs w:val="24"/>
          <w:highlight w:val="none"/>
          <w:lang w:eastAsia="zh-CN"/>
        </w:rPr>
        <w:t>比选</w:t>
      </w:r>
      <w:r>
        <w:rPr>
          <w:rFonts w:hint="eastAsia" w:hAnsi="宋体" w:cs="宋体"/>
          <w:sz w:val="24"/>
          <w:szCs w:val="24"/>
          <w:highlight w:val="none"/>
        </w:rPr>
        <w:t>时间：202</w:t>
      </w:r>
      <w:r>
        <w:rPr>
          <w:rFonts w:hint="eastAsia" w:hAnsi="宋体" w:cs="宋体"/>
          <w:sz w:val="24"/>
          <w:szCs w:val="24"/>
          <w:highlight w:val="none"/>
          <w:lang w:val="en-US" w:eastAsia="zh-CN"/>
        </w:rPr>
        <w:t>4</w:t>
      </w:r>
      <w:r>
        <w:rPr>
          <w:rFonts w:hint="eastAsia" w:hAnsi="宋体" w:cs="宋体"/>
          <w:sz w:val="24"/>
          <w:szCs w:val="24"/>
          <w:highlight w:val="none"/>
        </w:rPr>
        <w:t>年</w:t>
      </w:r>
      <w:r>
        <w:rPr>
          <w:rFonts w:hint="eastAsia" w:hAnsi="宋体" w:cs="宋体"/>
          <w:sz w:val="24"/>
          <w:szCs w:val="24"/>
          <w:highlight w:val="none"/>
          <w:lang w:val="en-US" w:eastAsia="zh-CN"/>
        </w:rPr>
        <w:t xml:space="preserve"> </w:t>
      </w:r>
      <w:r>
        <w:rPr>
          <w:rFonts w:hint="eastAsia" w:hAnsi="宋体" w:cs="宋体"/>
          <w:sz w:val="24"/>
          <w:szCs w:val="24"/>
          <w:highlight w:val="none"/>
        </w:rPr>
        <w:t>月 日9:30（</w:t>
      </w:r>
      <w:r>
        <w:rPr>
          <w:rFonts w:hint="eastAsia" w:hAnsi="宋体" w:cs="宋体"/>
          <w:sz w:val="24"/>
          <w:szCs w:val="24"/>
          <w:highlight w:val="none"/>
          <w:lang w:eastAsia="zh-CN"/>
        </w:rPr>
        <w:t>待</w:t>
      </w:r>
      <w:r>
        <w:rPr>
          <w:rFonts w:hint="eastAsia" w:hAnsi="宋体" w:cs="宋体"/>
          <w:sz w:val="24"/>
          <w:szCs w:val="24"/>
          <w:highlight w:val="none"/>
        </w:rPr>
        <w:t>定），具体评审时间及地点由医院确定，</w:t>
      </w:r>
      <w:r>
        <w:rPr>
          <w:rFonts w:hint="eastAsia" w:hAnsi="宋体" w:cs="宋体"/>
          <w:sz w:val="24"/>
          <w:szCs w:val="24"/>
          <w:highlight w:val="none"/>
        </w:rPr>
        <w:t>投标人无须参加</w:t>
      </w:r>
      <w:r>
        <w:rPr>
          <w:rFonts w:hint="eastAsia" w:hAnsi="宋体" w:cs="宋体"/>
          <w:sz w:val="24"/>
          <w:szCs w:val="24"/>
          <w:highlight w:val="none"/>
        </w:rPr>
        <w:t>。</w:t>
      </w:r>
    </w:p>
    <w:p>
      <w:pPr>
        <w:pStyle w:val="3"/>
        <w:rPr>
          <w:highlight w:val="none"/>
        </w:rPr>
      </w:pPr>
      <w:bookmarkStart w:id="13" w:name="_Toc98942877"/>
      <w:bookmarkStart w:id="14" w:name="_Toc60133133"/>
      <w:r>
        <w:rPr>
          <w:rFonts w:hint="eastAsia"/>
          <w:highlight w:val="none"/>
        </w:rPr>
        <w:t>六、其它有关规定</w:t>
      </w:r>
      <w:bookmarkEnd w:id="13"/>
      <w:bookmarkEnd w:id="14"/>
    </w:p>
    <w:p>
      <w:pPr>
        <w:spacing w:line="360" w:lineRule="auto"/>
        <w:ind w:firstLine="480"/>
        <w:rPr>
          <w:rFonts w:hAnsi="宋体" w:cs="宋体"/>
          <w:sz w:val="24"/>
          <w:szCs w:val="24"/>
          <w:highlight w:val="none"/>
        </w:rPr>
      </w:pPr>
      <w:r>
        <w:rPr>
          <w:rFonts w:hint="eastAsia" w:hAnsi="宋体" w:cs="宋体"/>
          <w:sz w:val="24"/>
          <w:szCs w:val="24"/>
          <w:highlight w:val="none"/>
        </w:rPr>
        <w:t>（一）</w:t>
      </w:r>
      <w:r>
        <w:rPr>
          <w:rFonts w:hAnsi="宋体" w:cs="宋体"/>
          <w:sz w:val="24"/>
          <w:szCs w:val="24"/>
          <w:highlight w:val="none"/>
        </w:rPr>
        <w:t>单位负责人为同一人或者存在直接控股、管理关系的不同供应商，不得参加同一合同项下的采购活动。</w:t>
      </w:r>
    </w:p>
    <w:p>
      <w:pPr>
        <w:spacing w:line="360" w:lineRule="auto"/>
        <w:ind w:firstLine="480"/>
        <w:rPr>
          <w:rFonts w:hAnsi="宋体" w:cs="宋体"/>
          <w:sz w:val="24"/>
          <w:szCs w:val="24"/>
          <w:highlight w:val="none"/>
        </w:rPr>
      </w:pPr>
      <w:r>
        <w:rPr>
          <w:rFonts w:hint="eastAsia" w:hAnsi="宋体" w:cs="宋体"/>
          <w:sz w:val="24"/>
          <w:szCs w:val="24"/>
          <w:highlight w:val="none"/>
        </w:rPr>
        <w:t>（二）</w:t>
      </w:r>
      <w:r>
        <w:rPr>
          <w:rFonts w:hAnsi="宋体" w:cs="宋体"/>
          <w:sz w:val="24"/>
          <w:szCs w:val="24"/>
          <w:highlight w:val="none"/>
        </w:rPr>
        <w:t>为采购项目提供整体设计、规范编制或者项目管理、监理、检测等服务的供应商，不得再参加</w:t>
      </w:r>
      <w:r>
        <w:rPr>
          <w:rFonts w:hint="eastAsia" w:hAnsi="宋体" w:cs="宋体"/>
          <w:sz w:val="24"/>
          <w:szCs w:val="24"/>
          <w:highlight w:val="none"/>
        </w:rPr>
        <w:t>该采购</w:t>
      </w:r>
      <w:r>
        <w:rPr>
          <w:rFonts w:hAnsi="宋体" w:cs="宋体"/>
          <w:sz w:val="24"/>
          <w:szCs w:val="24"/>
          <w:highlight w:val="none"/>
        </w:rPr>
        <w:t>项目的</w:t>
      </w:r>
      <w:r>
        <w:rPr>
          <w:rFonts w:hint="eastAsia" w:hAnsi="宋体" w:cs="宋体"/>
          <w:sz w:val="24"/>
          <w:szCs w:val="24"/>
          <w:highlight w:val="none"/>
        </w:rPr>
        <w:t>其他</w:t>
      </w:r>
      <w:r>
        <w:rPr>
          <w:rFonts w:hAnsi="宋体" w:cs="宋体"/>
          <w:sz w:val="24"/>
          <w:szCs w:val="24"/>
          <w:highlight w:val="none"/>
        </w:rPr>
        <w:t>采购活动。</w:t>
      </w:r>
    </w:p>
    <w:p>
      <w:pPr>
        <w:spacing w:line="360" w:lineRule="auto"/>
        <w:ind w:firstLine="480"/>
        <w:rPr>
          <w:rFonts w:hAnsi="宋体" w:cs="宋体"/>
          <w:sz w:val="24"/>
          <w:szCs w:val="24"/>
          <w:highlight w:val="none"/>
        </w:rPr>
      </w:pPr>
      <w:r>
        <w:rPr>
          <w:rFonts w:hint="eastAsia" w:hAnsi="宋体" w:cs="宋体"/>
          <w:sz w:val="24"/>
          <w:szCs w:val="24"/>
          <w:highlight w:val="none"/>
        </w:rPr>
        <w:t>（三）本项目若有补遗文件一律在重庆医科大学附属口腔医院官网、中国采购招标网、和行采家上发布，请各供应商注意下载；无论供应商下载与否，均视同供应商已知晓本项目补遗文件的内容。</w:t>
      </w:r>
    </w:p>
    <w:p>
      <w:pPr>
        <w:spacing w:line="360" w:lineRule="auto"/>
        <w:ind w:firstLine="480"/>
        <w:rPr>
          <w:rFonts w:hAnsi="宋体" w:cs="宋体"/>
          <w:sz w:val="24"/>
          <w:szCs w:val="24"/>
          <w:highlight w:val="none"/>
        </w:rPr>
      </w:pPr>
      <w:r>
        <w:rPr>
          <w:rFonts w:hint="eastAsia" w:hAnsi="宋体" w:cs="宋体"/>
          <w:sz w:val="24"/>
          <w:szCs w:val="24"/>
          <w:highlight w:val="none"/>
        </w:rPr>
        <w:t>（四）超过响应文件递交截止时间递交的响应文件，恕不接收。</w:t>
      </w:r>
    </w:p>
    <w:p>
      <w:pPr>
        <w:spacing w:line="360" w:lineRule="auto"/>
        <w:ind w:firstLine="480"/>
        <w:rPr>
          <w:rFonts w:hAnsi="宋体" w:cs="宋体"/>
          <w:sz w:val="24"/>
          <w:szCs w:val="24"/>
          <w:highlight w:val="none"/>
        </w:rPr>
      </w:pPr>
      <w:r>
        <w:rPr>
          <w:rFonts w:hint="eastAsia" w:hAnsi="宋体" w:cs="宋体"/>
          <w:sz w:val="24"/>
          <w:szCs w:val="24"/>
          <w:highlight w:val="none"/>
        </w:rPr>
        <w:t>（五）磋商费用：无论投标结果如何，供应商参与本项目投标的所有费用均应由供应商自行承担。</w:t>
      </w:r>
    </w:p>
    <w:p>
      <w:pPr>
        <w:spacing w:line="360" w:lineRule="auto"/>
        <w:ind w:firstLine="480"/>
        <w:rPr>
          <w:rFonts w:hAnsi="宋体" w:cs="宋体"/>
          <w:sz w:val="24"/>
          <w:szCs w:val="24"/>
          <w:highlight w:val="none"/>
        </w:rPr>
      </w:pPr>
      <w:r>
        <w:rPr>
          <w:rFonts w:hint="eastAsia" w:hAnsi="宋体" w:cs="宋体"/>
          <w:sz w:val="24"/>
          <w:szCs w:val="24"/>
          <w:highlight w:val="none"/>
        </w:rPr>
        <w:t>（六）本项目不接受联合体参与投标。</w:t>
      </w:r>
    </w:p>
    <w:p>
      <w:pPr>
        <w:spacing w:line="360" w:lineRule="auto"/>
        <w:ind w:firstLine="480"/>
        <w:rPr>
          <w:rFonts w:hint="eastAsia" w:hAnsi="宋体" w:cs="宋体"/>
          <w:sz w:val="24"/>
          <w:szCs w:val="24"/>
          <w:highlight w:val="none"/>
        </w:rPr>
      </w:pPr>
      <w:r>
        <w:rPr>
          <w:rFonts w:hint="eastAsia" w:hAnsi="宋体" w:cs="宋体"/>
          <w:sz w:val="24"/>
          <w:szCs w:val="24"/>
          <w:highlight w:val="none"/>
        </w:rPr>
        <w:t>（七）</w:t>
      </w:r>
      <w:bookmarkStart w:id="15" w:name="OLE_LINK2"/>
      <w:bookmarkStart w:id="16" w:name="OLE_LINK1"/>
      <w:r>
        <w:rPr>
          <w:rFonts w:hint="eastAsia" w:hAnsi="宋体" w:cs="宋体"/>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w:t>
      </w:r>
      <w:bookmarkEnd w:id="15"/>
      <w:bookmarkEnd w:id="16"/>
      <w:r>
        <w:rPr>
          <w:rFonts w:hint="eastAsia" w:hAnsi="宋体" w:cs="宋体"/>
          <w:sz w:val="24"/>
          <w:szCs w:val="24"/>
          <w:highlight w:val="none"/>
        </w:rPr>
        <w:t>供应商，将拒绝其参与政府采购活动。</w:t>
      </w:r>
    </w:p>
    <w:p>
      <w:pPr>
        <w:spacing w:line="360" w:lineRule="auto"/>
        <w:ind w:firstLine="480"/>
        <w:rPr>
          <w:rFonts w:hint="eastAsia" w:hAnsi="宋体" w:cs="宋体"/>
          <w:sz w:val="24"/>
          <w:szCs w:val="24"/>
          <w:highlight w:val="none"/>
          <w:lang w:val="en-US" w:eastAsia="zh-CN"/>
        </w:rPr>
      </w:pPr>
      <w:r>
        <w:rPr>
          <w:rFonts w:hint="eastAsia" w:hAnsi="宋体" w:cs="宋体"/>
          <w:sz w:val="24"/>
          <w:szCs w:val="24"/>
          <w:highlight w:val="none"/>
          <w:lang w:eastAsia="zh-CN"/>
        </w:rPr>
        <w:t>（八）根据</w:t>
      </w:r>
      <w:r>
        <w:rPr>
          <w:rFonts w:hint="eastAsia" w:hAnsi="宋体" w:cs="宋体"/>
          <w:sz w:val="24"/>
          <w:szCs w:val="24"/>
          <w:highlight w:val="none"/>
          <w:lang w:val="en-US" w:eastAsia="zh-CN"/>
        </w:rPr>
        <w:t>《政府采购货物和服务招标投标管理办法》（财政部令第87号）中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竞争性比选文件规定的方式确定一个投标人获得中标人推荐资格，竞争性比选文件未规定的采取随机抽取方式确定，其他同品牌投标人不作为中标候选人。</w:t>
      </w:r>
    </w:p>
    <w:p>
      <w:pPr>
        <w:spacing w:line="360" w:lineRule="auto"/>
        <w:ind w:firstLine="480"/>
        <w:rPr>
          <w:rFonts w:hint="eastAsia" w:hAnsi="宋体" w:eastAsia="宋体" w:cs="宋体"/>
          <w:sz w:val="24"/>
          <w:szCs w:val="24"/>
          <w:highlight w:val="none"/>
          <w:lang w:eastAsia="zh-CN"/>
        </w:rPr>
      </w:pPr>
      <w:r>
        <w:rPr>
          <w:rFonts w:hint="eastAsia" w:ascii="宋体" w:hAnsi="宋体" w:eastAsia="宋体" w:cs="宋体"/>
          <w:bCs w:val="0"/>
          <w:color w:val="auto"/>
          <w:kern w:val="0"/>
          <w:sz w:val="24"/>
          <w:szCs w:val="24"/>
          <w:highlight w:val="none"/>
          <w:lang w:val="en-US" w:eastAsia="zh-CN" w:bidi="ar-SA"/>
        </w:rPr>
        <w:t>采用最低评标价法的采购项目，提供相同品牌产品的不同投标人参加同一合同项下投标的，以其中通过资格审查、符合性审查且报价最低的参加评标；报价相同的，由采购人或者采购人委托评标委员会按照</w:t>
      </w:r>
      <w:r>
        <w:rPr>
          <w:rFonts w:hint="eastAsia" w:hAnsi="宋体" w:cs="宋体"/>
          <w:bCs w:val="0"/>
          <w:color w:val="auto"/>
          <w:kern w:val="0"/>
          <w:sz w:val="24"/>
          <w:szCs w:val="24"/>
          <w:highlight w:val="none"/>
          <w:lang w:val="en-US" w:eastAsia="zh-CN" w:bidi="ar-SA"/>
        </w:rPr>
        <w:t>竞争性比选文件</w:t>
      </w:r>
      <w:r>
        <w:rPr>
          <w:rFonts w:hint="eastAsia" w:ascii="宋体" w:hAnsi="宋体" w:eastAsia="宋体" w:cs="宋体"/>
          <w:bCs w:val="0"/>
          <w:color w:val="auto"/>
          <w:kern w:val="0"/>
          <w:sz w:val="24"/>
          <w:szCs w:val="24"/>
          <w:highlight w:val="none"/>
          <w:lang w:val="en-US" w:eastAsia="zh-CN" w:bidi="ar-SA"/>
        </w:rPr>
        <w:t>规定的方式确定一个参加评标的投标人，</w:t>
      </w:r>
      <w:r>
        <w:rPr>
          <w:rFonts w:hint="eastAsia" w:hAnsi="宋体" w:cs="宋体"/>
          <w:bCs w:val="0"/>
          <w:color w:val="auto"/>
          <w:kern w:val="0"/>
          <w:sz w:val="24"/>
          <w:szCs w:val="24"/>
          <w:highlight w:val="none"/>
          <w:lang w:val="en-US" w:eastAsia="zh-CN" w:bidi="ar-SA"/>
        </w:rPr>
        <w:t>竞争性比选文件</w:t>
      </w:r>
      <w:r>
        <w:rPr>
          <w:rFonts w:hint="eastAsia" w:ascii="宋体" w:hAnsi="宋体" w:eastAsia="宋体" w:cs="宋体"/>
          <w:bCs w:val="0"/>
          <w:color w:val="auto"/>
          <w:kern w:val="0"/>
          <w:sz w:val="24"/>
          <w:szCs w:val="24"/>
          <w:highlight w:val="none"/>
          <w:lang w:val="en-US" w:eastAsia="zh-CN" w:bidi="ar-SA"/>
        </w:rPr>
        <w:t>未规定的采取随机抽取方式确定，其他投标无效。</w:t>
      </w:r>
    </w:p>
    <w:p>
      <w:pPr>
        <w:pStyle w:val="3"/>
        <w:rPr>
          <w:highlight w:val="none"/>
        </w:rPr>
      </w:pPr>
      <w:bookmarkStart w:id="17" w:name="_Toc98942878"/>
      <w:r>
        <w:rPr>
          <w:rFonts w:hint="eastAsia"/>
          <w:highlight w:val="none"/>
        </w:rPr>
        <w:t>七、联系方式</w:t>
      </w:r>
      <w:bookmarkEnd w:id="17"/>
    </w:p>
    <w:p>
      <w:pPr>
        <w:spacing w:line="360" w:lineRule="auto"/>
        <w:ind w:firstLine="480" w:firstLineChars="200"/>
        <w:rPr>
          <w:rFonts w:hAnsi="宋体" w:cs="宋体"/>
          <w:sz w:val="24"/>
          <w:szCs w:val="24"/>
          <w:highlight w:val="none"/>
        </w:rPr>
      </w:pPr>
      <w:r>
        <w:rPr>
          <w:rFonts w:hint="eastAsia" w:hAnsi="宋体" w:cs="宋体"/>
          <w:sz w:val="24"/>
          <w:szCs w:val="24"/>
          <w:highlight w:val="none"/>
        </w:rPr>
        <w:t xml:space="preserve">单位名称：重庆医科大学附属口腔医院 </w:t>
      </w:r>
    </w:p>
    <w:p>
      <w:pPr>
        <w:spacing w:line="360" w:lineRule="auto"/>
        <w:ind w:firstLine="480" w:firstLineChars="200"/>
        <w:rPr>
          <w:rFonts w:hAnsi="宋体" w:cs="宋体"/>
          <w:sz w:val="24"/>
          <w:szCs w:val="24"/>
          <w:highlight w:val="none"/>
        </w:rPr>
      </w:pPr>
      <w:r>
        <w:rPr>
          <w:rFonts w:hint="eastAsia" w:hAnsi="宋体" w:cs="宋体"/>
          <w:sz w:val="24"/>
          <w:szCs w:val="24"/>
          <w:highlight w:val="none"/>
        </w:rPr>
        <w:t>地址：重庆市渝北区松石北路426号  邮编：  401147</w:t>
      </w:r>
    </w:p>
    <w:p>
      <w:pPr>
        <w:spacing w:line="360" w:lineRule="auto"/>
        <w:rPr>
          <w:rFonts w:hAnsi="宋体" w:cs="宋体"/>
          <w:sz w:val="24"/>
          <w:szCs w:val="24"/>
          <w:highlight w:val="none"/>
        </w:rPr>
      </w:pPr>
      <w:r>
        <w:rPr>
          <w:rFonts w:hint="eastAsia" w:hAnsi="宋体" w:cs="宋体"/>
          <w:sz w:val="24"/>
          <w:szCs w:val="24"/>
          <w:highlight w:val="none"/>
        </w:rPr>
        <w:t xml:space="preserve">    电话： 023- 88860001       </w:t>
      </w:r>
      <w:r>
        <w:rPr>
          <w:rFonts w:hint="eastAsia" w:hAnsi="宋体" w:cs="宋体"/>
          <w:sz w:val="24"/>
          <w:szCs w:val="24"/>
          <w:highlight w:val="none"/>
        </w:rPr>
        <w:t>88602318</w:t>
      </w:r>
      <w:r>
        <w:rPr>
          <w:rFonts w:hint="eastAsia" w:hAnsi="宋体" w:cs="宋体"/>
          <w:sz w:val="24"/>
          <w:szCs w:val="24"/>
          <w:highlight w:val="none"/>
        </w:rPr>
        <w:t>（监督）       传真：023-88860222</w:t>
      </w:r>
    </w:p>
    <w:p>
      <w:pPr>
        <w:spacing w:line="360" w:lineRule="auto"/>
        <w:rPr>
          <w:rFonts w:hAnsi="宋体" w:cs="宋体"/>
          <w:sz w:val="24"/>
          <w:szCs w:val="24"/>
          <w:highlight w:val="none"/>
        </w:rPr>
      </w:pPr>
      <w:r>
        <w:rPr>
          <w:rFonts w:hint="eastAsia" w:hAnsi="宋体" w:cs="宋体"/>
          <w:sz w:val="24"/>
          <w:szCs w:val="24"/>
          <w:highlight w:val="none"/>
        </w:rPr>
        <w:t xml:space="preserve">    联系人：陈老师        </w:t>
      </w:r>
      <w:r>
        <w:rPr>
          <w:rFonts w:hint="eastAsia" w:hAnsi="宋体" w:cs="宋体"/>
          <w:sz w:val="24"/>
          <w:szCs w:val="24"/>
          <w:highlight w:val="none"/>
          <w:lang w:eastAsia="zh-CN"/>
        </w:rPr>
        <w:t>李</w:t>
      </w:r>
      <w:r>
        <w:rPr>
          <w:rFonts w:hint="eastAsia" w:hAnsi="宋体" w:cs="宋体"/>
          <w:sz w:val="24"/>
          <w:szCs w:val="24"/>
          <w:highlight w:val="none"/>
        </w:rPr>
        <w:t>老师（监督）</w:t>
      </w:r>
    </w:p>
    <w:p>
      <w:pPr>
        <w:rPr>
          <w:highlight w:val="none"/>
        </w:rPr>
        <w:sectPr>
          <w:headerReference r:id="rId3" w:type="default"/>
          <w:footerReference r:id="rId4" w:type="default"/>
          <w:pgSz w:w="11907" w:h="16840"/>
          <w:pgMar w:top="1440" w:right="1275" w:bottom="993" w:left="1134" w:header="851" w:footer="777" w:gutter="0"/>
          <w:cols w:space="720" w:num="1"/>
          <w:docGrid w:linePitch="312" w:charSpace="0"/>
        </w:sectPr>
      </w:pPr>
    </w:p>
    <w:p>
      <w:pPr>
        <w:rPr>
          <w:highlight w:val="none"/>
        </w:rPr>
      </w:pPr>
    </w:p>
    <w:p>
      <w:pPr>
        <w:pStyle w:val="2"/>
        <w:spacing w:line="360" w:lineRule="auto"/>
        <w:rPr>
          <w:rFonts w:ascii="宋体" w:hAnsi="宋体" w:eastAsia="宋体" w:cs="宋体"/>
          <w:highlight w:val="none"/>
        </w:rPr>
      </w:pPr>
      <w:bookmarkStart w:id="18" w:name="_Toc98942879"/>
      <w:bookmarkStart w:id="19" w:name="_Toc19113857"/>
      <w:r>
        <w:rPr>
          <w:rFonts w:hint="eastAsia" w:ascii="宋体" w:hAnsi="宋体" w:eastAsia="宋体" w:cs="宋体"/>
          <w:highlight w:val="none"/>
        </w:rPr>
        <w:t>第二篇 项目技术要求</w:t>
      </w:r>
      <w:bookmarkEnd w:id="18"/>
      <w:bookmarkEnd w:id="19"/>
    </w:p>
    <w:p>
      <w:pPr>
        <w:pStyle w:val="3"/>
        <w:rPr>
          <w:color w:val="000000" w:themeColor="text1"/>
          <w:highlight w:val="none"/>
          <w14:textFill>
            <w14:solidFill>
              <w14:schemeClr w14:val="tx1"/>
            </w14:solidFill>
          </w14:textFill>
        </w:rPr>
      </w:pPr>
      <w:bookmarkStart w:id="20" w:name="_Toc98942880"/>
      <w:bookmarkStart w:id="21" w:name="_Toc19113858"/>
      <w:bookmarkStart w:id="22" w:name="_Toc98942882"/>
      <w:bookmarkStart w:id="23" w:name="_Toc267320049"/>
      <w:r>
        <w:rPr>
          <w:rFonts w:hint="eastAsia"/>
          <w:color w:val="000000" w:themeColor="text1"/>
          <w:highlight w:val="none"/>
          <w14:textFill>
            <w14:solidFill>
              <w14:schemeClr w14:val="tx1"/>
            </w14:solidFill>
          </w14:textFill>
        </w:rPr>
        <w:t>一、</w:t>
      </w:r>
      <w:r>
        <w:rPr>
          <w:rFonts w:hint="eastAsia"/>
          <w:color w:val="000000" w:themeColor="text1"/>
          <w:highlight w:val="none"/>
          <w:lang w:eastAsia="zh-CN"/>
          <w14:textFill>
            <w14:solidFill>
              <w14:schemeClr w14:val="tx1"/>
            </w14:solidFill>
          </w14:textFill>
        </w:rPr>
        <w:t>采购</w:t>
      </w:r>
      <w:r>
        <w:rPr>
          <w:rFonts w:hint="eastAsia"/>
          <w:color w:val="000000" w:themeColor="text1"/>
          <w:highlight w:val="none"/>
          <w14:textFill>
            <w14:solidFill>
              <w14:schemeClr w14:val="tx1"/>
            </w14:solidFill>
          </w14:textFill>
        </w:rPr>
        <w:t>项目一览表</w:t>
      </w:r>
      <w:bookmarkEnd w:id="20"/>
    </w:p>
    <w:tbl>
      <w:tblPr>
        <w:tblStyle w:val="12"/>
        <w:tblW w:w="92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6787"/>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color w:val="000000" w:themeColor="text1"/>
                <w:sz w:val="21"/>
                <w:szCs w:val="21"/>
                <w:highlight w:val="none"/>
                <w14:textFill>
                  <w14:solidFill>
                    <w14:schemeClr w14:val="tx1"/>
                  </w14:solidFill>
                </w14:textFill>
              </w:rPr>
            </w:pPr>
            <w:r>
              <w:rPr>
                <w:rFonts w:hint="eastAsia" w:ascii="方正仿宋_GBK" w:hAnsi="宋体" w:eastAsia="方正仿宋_GBK"/>
                <w:b/>
                <w:color w:val="000000" w:themeColor="text1"/>
                <w:sz w:val="21"/>
                <w:szCs w:val="21"/>
                <w:highlight w:val="none"/>
                <w14:textFill>
                  <w14:solidFill>
                    <w14:schemeClr w14:val="tx1"/>
                  </w14:solidFill>
                </w14:textFill>
              </w:rPr>
              <w:t>序</w:t>
            </w:r>
            <w:r>
              <w:rPr>
                <w:rFonts w:hint="eastAsia" w:hAnsi="宋体" w:cs="宋体"/>
                <w:b/>
                <w:color w:val="000000" w:themeColor="text1"/>
                <w:sz w:val="21"/>
                <w:szCs w:val="21"/>
                <w:highlight w:val="none"/>
                <w14:textFill>
                  <w14:solidFill>
                    <w14:schemeClr w14:val="tx1"/>
                  </w14:solidFill>
                </w14:textFill>
              </w:rPr>
              <w:t>号</w:t>
            </w:r>
          </w:p>
        </w:tc>
        <w:tc>
          <w:tcPr>
            <w:tcW w:w="678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color w:val="000000" w:themeColor="text1"/>
                <w:sz w:val="21"/>
                <w:szCs w:val="21"/>
                <w:highlight w:val="none"/>
                <w14:textFill>
                  <w14:solidFill>
                    <w14:schemeClr w14:val="tx1"/>
                  </w14:solidFill>
                </w14:textFill>
              </w:rPr>
            </w:pPr>
            <w:r>
              <w:rPr>
                <w:rFonts w:hint="eastAsia" w:ascii="方正仿宋_GBK" w:hAnsi="宋体" w:eastAsia="方正仿宋_GBK"/>
                <w:b/>
                <w:color w:val="000000" w:themeColor="text1"/>
                <w:sz w:val="21"/>
                <w:szCs w:val="21"/>
                <w:highlight w:val="none"/>
                <w14:textFill>
                  <w14:solidFill>
                    <w14:schemeClr w14:val="tx1"/>
                  </w14:solidFill>
                </w14:textFill>
              </w:rPr>
              <w:t>名 称</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color w:val="000000" w:themeColor="text1"/>
                <w:sz w:val="21"/>
                <w:szCs w:val="21"/>
                <w:highlight w:val="none"/>
                <w14:textFill>
                  <w14:solidFill>
                    <w14:schemeClr w14:val="tx1"/>
                  </w14:solidFill>
                </w14:textFill>
              </w:rPr>
            </w:pPr>
            <w:r>
              <w:rPr>
                <w:rFonts w:hint="eastAsia" w:ascii="方正仿宋_GBK" w:hAnsi="宋体" w:eastAsia="方正仿宋_GBK"/>
                <w:b/>
                <w:color w:val="000000" w:themeColor="text1"/>
                <w:sz w:val="21"/>
                <w:szCs w:val="21"/>
                <w:highlight w:val="none"/>
                <w14:textFill>
                  <w14:solidFill>
                    <w14:schemeClr w14:val="tx1"/>
                  </w14:solidFill>
                </w14:textFill>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67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医疗责任</w:t>
            </w:r>
            <w:r>
              <w:rPr>
                <w:rFonts w:hint="eastAsia" w:ascii="宋体" w:hAnsi="宋体" w:eastAsia="宋体" w:cs="宋体"/>
                <w:color w:val="000000" w:themeColor="text1"/>
                <w:sz w:val="24"/>
                <w:szCs w:val="28"/>
                <w:highlight w:val="none"/>
                <w:lang w:val="en-US" w:eastAsia="zh-CN"/>
                <w14:textFill>
                  <w14:solidFill>
                    <w14:schemeClr w14:val="tx1"/>
                  </w14:solidFill>
                </w14:textFill>
              </w:rPr>
              <w:t>保险</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hAnsi="宋体" w:cs="宋体"/>
                <w:color w:val="000000" w:themeColor="text1"/>
                <w:sz w:val="21"/>
                <w:szCs w:val="21"/>
                <w:highlight w:val="none"/>
                <w:lang w:val="en-US" w:eastAsia="zh-CN"/>
                <w14:textFill>
                  <w14:solidFill>
                    <w14:schemeClr w14:val="tx1"/>
                  </w14:solidFill>
                </w14:textFill>
              </w:rPr>
              <w:t>年</w:t>
            </w:r>
          </w:p>
        </w:tc>
      </w:tr>
    </w:tbl>
    <w:p>
      <w:pPr>
        <w:pStyle w:val="3"/>
        <w:numPr>
          <w:ilvl w:val="0"/>
          <w:numId w:val="1"/>
        </w:numPr>
        <w:ind w:firstLine="0" w:firstLineChars="0"/>
        <w:rPr>
          <w:rFonts w:hint="eastAsia" w:ascii="宋体" w:hAnsi="宋体" w:eastAsia="宋体" w:cs="宋体"/>
          <w:bCs w:val="0"/>
          <w:color w:val="000000" w:themeColor="text1"/>
          <w:kern w:val="0"/>
          <w:sz w:val="24"/>
          <w:szCs w:val="24"/>
          <w:highlight w:val="none"/>
          <w:lang w:val="en-US" w:eastAsia="zh-CN" w:bidi="ar-SA"/>
          <w14:textFill>
            <w14:solidFill>
              <w14:schemeClr w14:val="tx1"/>
            </w14:solidFill>
          </w14:textFill>
        </w:rPr>
      </w:pPr>
      <w:bookmarkStart w:id="24" w:name="_Toc23239"/>
      <w:bookmarkStart w:id="25" w:name="_Toc25929260"/>
      <w:bookmarkStart w:id="26" w:name="_Toc35440406"/>
      <w:r>
        <w:rPr>
          <w:rFonts w:hint="eastAsia" w:ascii="宋体" w:hAnsi="宋体" w:eastAsia="宋体" w:cs="宋体"/>
          <w:bCs w:val="0"/>
          <w:color w:val="000000" w:themeColor="text1"/>
          <w:kern w:val="0"/>
          <w:sz w:val="24"/>
          <w:szCs w:val="24"/>
          <w:highlight w:val="none"/>
          <w:lang w:val="en-US" w:eastAsia="zh-CN" w:bidi="ar-SA"/>
          <w14:textFill>
            <w14:solidFill>
              <w14:schemeClr w14:val="tx1"/>
            </w14:solidFill>
          </w14:textFill>
        </w:rPr>
        <w:t>项目服务需求</w:t>
      </w:r>
      <w:bookmarkEnd w:id="24"/>
      <w:bookmarkEnd w:id="25"/>
      <w:bookmarkEnd w:id="26"/>
    </w:p>
    <w:p>
      <w:pPr>
        <w:numPr>
          <w:ilvl w:val="0"/>
          <w:numId w:val="0"/>
        </w:numPr>
        <w:rPr>
          <w:rFonts w:hint="eastAsia" w:ascii="宋体" w:hAnsi="宋体" w:eastAsia="宋体" w:cs="宋体"/>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val="0"/>
          <w:color w:val="000000" w:themeColor="text1"/>
          <w:kern w:val="0"/>
          <w:sz w:val="24"/>
          <w:szCs w:val="24"/>
          <w:highlight w:val="none"/>
          <w:lang w:val="en-US" w:eastAsia="zh-CN" w:bidi="ar-SA"/>
          <w14:textFill>
            <w14:solidFill>
              <w14:schemeClr w14:val="tx1"/>
            </w14:solidFill>
          </w14:textFill>
        </w:rPr>
        <w:t>1.应答要求有规定的须提供相应支撑材料，须按规定提供且注明投标书对应页码；</w:t>
      </w:r>
    </w:p>
    <w:p>
      <w:pPr>
        <w:rPr>
          <w:rFonts w:hint="eastAsia" w:ascii="宋体" w:hAnsi="宋体" w:eastAsia="宋体" w:cs="宋体"/>
          <w:color w:val="000000" w:themeColor="text1"/>
          <w:sz w:val="24"/>
          <w:szCs w:val="24"/>
          <w:highlight w:val="none"/>
          <w14:textFill>
            <w14:solidFill>
              <w14:schemeClr w14:val="tx1"/>
            </w14:solidFill>
          </w14:textFill>
        </w:rPr>
      </w:pPr>
      <w:bookmarkStart w:id="27" w:name="_Toc26977869"/>
      <w:r>
        <w:rPr>
          <w:rFonts w:hint="eastAsia" w:ascii="宋体" w:hAnsi="宋体" w:eastAsia="宋体" w:cs="宋体"/>
          <w:color w:val="000000" w:themeColor="text1"/>
          <w:sz w:val="24"/>
          <w:szCs w:val="24"/>
          <w:highlight w:val="none"/>
          <w14:textFill>
            <w14:solidFill>
              <w14:schemeClr w14:val="tx1"/>
            </w14:solidFill>
          </w14:textFill>
        </w:rPr>
        <w:t>（一）</w:t>
      </w:r>
      <w:bookmarkEnd w:id="27"/>
      <w:r>
        <w:rPr>
          <w:rFonts w:hint="eastAsia" w:ascii="宋体" w:hAnsi="宋体" w:eastAsia="宋体" w:cs="宋体"/>
          <w:color w:val="000000" w:themeColor="text1"/>
          <w:sz w:val="24"/>
          <w:szCs w:val="24"/>
          <w:highlight w:val="none"/>
          <w14:textFill>
            <w14:solidFill>
              <w14:schemeClr w14:val="tx1"/>
            </w14:solidFill>
          </w14:textFill>
        </w:rPr>
        <w:t>计费因子数据</w:t>
      </w:r>
    </w:p>
    <w:p>
      <w:pPr>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1、医院编制床位100张，开放床位8</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张，医生400，护士463，医技29，门急诊人次1057394，出院人次3148</w:t>
      </w:r>
    </w:p>
    <w:p>
      <w:pPr>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2、具体投保数量以实际情况为准。</w:t>
      </w:r>
    </w:p>
    <w:p>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（二）医疗机构责任保险方案</w:t>
      </w:r>
    </w:p>
    <w:p>
      <w:pPr>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投保人：重庆医科大学附属口腔医院。</w:t>
      </w:r>
    </w:p>
    <w:p>
      <w:pPr>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被保险人：重庆医科大学附属口腔医院及直属分院、门诊。</w:t>
      </w:r>
    </w:p>
    <w:p>
      <w:pPr>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承保区域：重庆医科大学附属口腔医院及直属分院、门诊。</w:t>
      </w:r>
    </w:p>
    <w:p>
      <w:pPr>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1、保险险种</w:t>
      </w:r>
    </w:p>
    <w:p>
      <w:pPr>
        <w:snapToGrid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）保险险种</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6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227" w:type="dxa"/>
            <w:noWrap w:val="0"/>
            <w:vAlign w:val="center"/>
          </w:tcPr>
          <w:p>
            <w:pPr>
              <w:snapToGrid w:val="0"/>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主险</w:t>
            </w:r>
          </w:p>
        </w:tc>
        <w:tc>
          <w:tcPr>
            <w:tcW w:w="6401" w:type="dxa"/>
            <w:noWrap w:val="0"/>
            <w:vAlign w:val="center"/>
          </w:tcPr>
          <w:p>
            <w:pPr>
              <w:snapToGrid w:val="0"/>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医疗责任保险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227" w:type="dxa"/>
            <w:vMerge w:val="restart"/>
            <w:noWrap w:val="0"/>
            <w:vAlign w:val="center"/>
          </w:tcPr>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附加险（选择投保）</w:t>
            </w:r>
          </w:p>
        </w:tc>
        <w:tc>
          <w:tcPr>
            <w:tcW w:w="6401" w:type="dxa"/>
            <w:noWrap w:val="0"/>
            <w:vAlign w:val="center"/>
          </w:tcPr>
          <w:p>
            <w:pPr>
              <w:snapToGrid w:val="0"/>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公平责任保险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227" w:type="dxa"/>
            <w:vMerge w:val="continue"/>
            <w:noWrap w:val="0"/>
            <w:vAlign w:val="center"/>
          </w:tcPr>
          <w:p>
            <w:pPr>
              <w:snapToGrid w:val="0"/>
              <w:ind w:firstLine="48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401" w:type="dxa"/>
            <w:noWrap w:val="0"/>
            <w:vAlign w:val="center"/>
          </w:tcPr>
          <w:p>
            <w:pPr>
              <w:snapToGrid w:val="0"/>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医疗机构场所责任保险</w:t>
            </w:r>
          </w:p>
        </w:tc>
      </w:tr>
    </w:tbl>
    <w:p>
      <w:pPr>
        <w:snapToGrid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color w:val="000000" w:themeColor="text1"/>
          <w:sz w:val="24"/>
          <w:szCs w:val="24"/>
          <w:highlight w:val="none"/>
          <w14:textFill>
            <w14:solidFill>
              <w14:schemeClr w14:val="tx1"/>
            </w14:solidFill>
          </w14:textFill>
        </w:rPr>
        <w:t>）保障范围</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1.主险保障范围</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被保险医疗机构在诊疗活动中因执业过失导致患者人身损害而负担的赔偿责任以及精神损害费用、法律费用等，保险人根据本保险合同的约定负责赔偿。</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2.附加险保障范围</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（1）公平责任保险</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兹经双方同意，本附加险扩展承保：在保险期间或保险合同载明的追溯期内，患者在被保险人的投保医务人员在保险单中列明的承保区域范围内从事与其资格相符的诊疗护理活动中遭受人身损害，且患者和被保险人及其投保医务人员对损害的发生都没有过错的，由患者或其近亲属在保险期间内首次向被保险人提出损害赔偿请求，依照法院判决或经医疗纠纷人民调解委员会基于《中华人民共和国民法典》调解达成调解协议，应由被保险人给予患者或其近亲属的适当经济补偿，保险人按照本附加险合同的约定负责赔偿。</w:t>
      </w:r>
    </w:p>
    <w:p>
      <w:pPr>
        <w:snapToGrid w:val="0"/>
        <w:ind w:firstLine="48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每位患者公平责任限额:10万</w:t>
      </w:r>
    </w:p>
    <w:p>
      <w:pPr>
        <w:snapToGrid w:val="0"/>
        <w:ind w:firstLine="48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保险人对每位患者公平责任的赔偿金额在每人责任限额以外另行计算，最高不超过本附加险合同列明的每位患者公平责任限额。</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（2）医疗机构场所责任保险</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保险期间内，被保险人在保险单列明的承保区域范围内依法从事诊疗护理活动过程中，由于未尽安全保障义务造成患者或其陪同人员的人身损害或财产损失，依法应由被保险人承担的经济赔偿责任，保险人按照本附加险合同的约定负责赔偿。</w:t>
      </w:r>
    </w:p>
    <w:p>
      <w:pPr>
        <w:snapToGrid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color w:val="000000" w:themeColor="text1"/>
          <w:sz w:val="24"/>
          <w:szCs w:val="24"/>
          <w:highlight w:val="none"/>
          <w14:textFill>
            <w14:solidFill>
              <w14:schemeClr w14:val="tx1"/>
            </w14:solidFill>
          </w14:textFill>
        </w:rPr>
        <w:t>）责任限额和保费价格</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1.主险基础责任限额及基础保费表</w:t>
      </w:r>
    </w:p>
    <w:tbl>
      <w:tblPr>
        <w:tblStyle w:val="12"/>
        <w:tblpPr w:leftFromText="180" w:rightFromText="180" w:vertAnchor="text" w:horzAnchor="margin" w:tblpXSpec="center" w:tblpY="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76"/>
        <w:gridCol w:w="1607"/>
        <w:gridCol w:w="1086"/>
        <w:gridCol w:w="1843"/>
        <w:gridCol w:w="1276"/>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gridSpan w:val="2"/>
            <w:noWrap w:val="0"/>
            <w:vAlign w:val="center"/>
          </w:tcPr>
          <w:p>
            <w:pPr>
              <w:snapToGrid w:val="0"/>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基础责任限额</w:t>
            </w:r>
          </w:p>
          <w:p>
            <w:pPr>
              <w:snapToGrid w:val="0"/>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（单位：万元）</w:t>
            </w:r>
          </w:p>
        </w:tc>
        <w:tc>
          <w:tcPr>
            <w:tcW w:w="7110" w:type="dxa"/>
            <w:gridSpan w:val="5"/>
            <w:noWrap w:val="0"/>
            <w:vAlign w:val="center"/>
          </w:tcPr>
          <w:p>
            <w:pPr>
              <w:snapToGrid w:val="0"/>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基础保费</w:t>
            </w:r>
          </w:p>
          <w:p>
            <w:pPr>
              <w:snapToGrid w:val="0"/>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（单位：元/人；元/次）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242" w:type="dxa"/>
            <w:noWrap w:val="0"/>
            <w:vAlign w:val="center"/>
          </w:tcPr>
          <w:p>
            <w:pPr>
              <w:snapToGrid w:val="0"/>
              <w:ind w:left="0" w:leftChars="0" w:firstLine="0" w:firstLineChars="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每人责任限额</w:t>
            </w:r>
          </w:p>
        </w:tc>
        <w:tc>
          <w:tcPr>
            <w:tcW w:w="1276" w:type="dxa"/>
            <w:noWrap w:val="0"/>
            <w:vAlign w:val="center"/>
          </w:tcPr>
          <w:p>
            <w:pPr>
              <w:snapToGrid w:val="0"/>
              <w:ind w:left="0" w:leftChars="0" w:firstLine="0" w:firstLineChars="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累计责任限额</w:t>
            </w:r>
          </w:p>
        </w:tc>
        <w:tc>
          <w:tcPr>
            <w:tcW w:w="1607" w:type="dxa"/>
            <w:noWrap w:val="0"/>
            <w:vAlign w:val="center"/>
          </w:tcPr>
          <w:p>
            <w:pPr>
              <w:snapToGrid w:val="0"/>
              <w:ind w:left="0" w:leftChars="0" w:firstLine="0" w:firstLineChars="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执业（助理）医师保费</w:t>
            </w:r>
          </w:p>
        </w:tc>
        <w:tc>
          <w:tcPr>
            <w:tcW w:w="1086" w:type="dxa"/>
            <w:noWrap w:val="0"/>
            <w:vAlign w:val="center"/>
          </w:tcPr>
          <w:p>
            <w:pPr>
              <w:snapToGrid w:val="0"/>
              <w:ind w:left="0" w:leftChars="0" w:firstLine="0" w:firstLineChars="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注册护士保费</w:t>
            </w:r>
          </w:p>
        </w:tc>
        <w:tc>
          <w:tcPr>
            <w:tcW w:w="1843" w:type="dxa"/>
            <w:noWrap w:val="0"/>
            <w:vAlign w:val="center"/>
          </w:tcPr>
          <w:p>
            <w:pPr>
              <w:snapToGrid w:val="0"/>
              <w:ind w:left="0" w:leftChars="0" w:firstLine="0" w:firstLineChars="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药师（士）、技师（士）保费</w:t>
            </w:r>
          </w:p>
        </w:tc>
        <w:tc>
          <w:tcPr>
            <w:tcW w:w="1276" w:type="dxa"/>
            <w:noWrap w:val="0"/>
            <w:vAlign w:val="center"/>
          </w:tcPr>
          <w:p>
            <w:pPr>
              <w:snapToGrid w:val="0"/>
              <w:ind w:left="0" w:leftChars="0" w:firstLine="0" w:firstLineChars="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总诊疗人次数保费</w:t>
            </w:r>
          </w:p>
        </w:tc>
        <w:tc>
          <w:tcPr>
            <w:tcW w:w="1298" w:type="dxa"/>
            <w:noWrap w:val="0"/>
            <w:vAlign w:val="center"/>
          </w:tcPr>
          <w:p>
            <w:pPr>
              <w:snapToGrid w:val="0"/>
              <w:ind w:left="0" w:leftChars="0" w:firstLine="0" w:firstLineChars="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出院人数保费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pPr>
              <w:snapToGrid w:val="0"/>
              <w:ind w:firstLine="240" w:firstLineChars="10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p>
        </w:tc>
        <w:tc>
          <w:tcPr>
            <w:tcW w:w="1276" w:type="dxa"/>
            <w:noWrap w:val="0"/>
            <w:vAlign w:val="center"/>
          </w:tcPr>
          <w:p>
            <w:pPr>
              <w:snapToGrid w:val="0"/>
              <w:ind w:firstLine="120" w:firstLineChars="5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100</w:t>
            </w:r>
          </w:p>
        </w:tc>
        <w:tc>
          <w:tcPr>
            <w:tcW w:w="1607" w:type="dxa"/>
            <w:noWrap w:val="0"/>
            <w:vAlign w:val="center"/>
          </w:tcPr>
          <w:p>
            <w:pPr>
              <w:snapToGrid w:val="0"/>
              <w:ind w:firstLine="48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待报价</w:t>
            </w:r>
          </w:p>
        </w:tc>
        <w:tc>
          <w:tcPr>
            <w:tcW w:w="1086" w:type="dxa"/>
            <w:noWrap w:val="0"/>
            <w:vAlign w:val="center"/>
          </w:tcPr>
          <w:p>
            <w:pPr>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待报价</w:t>
            </w:r>
          </w:p>
        </w:tc>
        <w:tc>
          <w:tcPr>
            <w:tcW w:w="1843" w:type="dxa"/>
            <w:noWrap w:val="0"/>
            <w:vAlign w:val="center"/>
          </w:tcPr>
          <w:p>
            <w:pPr>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待报价</w:t>
            </w:r>
          </w:p>
        </w:tc>
        <w:tc>
          <w:tcPr>
            <w:tcW w:w="1276" w:type="dxa"/>
            <w:noWrap w:val="0"/>
            <w:vAlign w:val="center"/>
          </w:tcPr>
          <w:p>
            <w:pPr>
              <w:snapToGrid w:val="0"/>
              <w:ind w:left="0" w:leftChars="0"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待报价</w:t>
            </w:r>
          </w:p>
        </w:tc>
        <w:tc>
          <w:tcPr>
            <w:tcW w:w="1298" w:type="dxa"/>
            <w:noWrap w:val="0"/>
            <w:vAlign w:val="center"/>
          </w:tcPr>
          <w:p>
            <w:pPr>
              <w:snapToGrid w:val="0"/>
              <w:ind w:left="0" w:leftChars="0"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待报价</w:t>
            </w:r>
          </w:p>
        </w:tc>
      </w:tr>
    </w:tbl>
    <w:p>
      <w:pPr>
        <w:snapToGrid w:val="0"/>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责任限额说明：</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（1）每人责任限额是指在保险年度内，被保险医疗机构造成每一名患者人身损害，在保险责任范围内获得的最高赔偿金额。</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（2）累计责任限额是指被保险医疗机构在保险年度内获得的最高赔偿金额。若保险年度内被保险医疗机构累计获得的赔款等于累计责任限额，则该医疗机构的保险单项下的保险责任终止。</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（3）精神损害费用每人责任限额为主险每人责任限额的10%，累计责任限额为主险累计责任限额的10%，且在主险责任限额之内计算。</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（4）法律费用每次事故责任限额为主险每人责任限额的10%，累计责任限额为主险累计责任限额的10%，且在主险责任限额之内计算。</w:t>
      </w:r>
    </w:p>
    <w:p>
      <w:pPr>
        <w:snapToGrid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color w:val="000000" w:themeColor="text1"/>
          <w:sz w:val="24"/>
          <w:szCs w:val="24"/>
          <w:highlight w:val="none"/>
          <w14:textFill>
            <w14:solidFill>
              <w14:schemeClr w14:val="tx1"/>
            </w14:solidFill>
          </w14:textFill>
        </w:rPr>
        <w:t>）续保保费调整系数</w:t>
      </w:r>
    </w:p>
    <w:p>
      <w:pPr>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本项目实行费率浮动机制，医疗机构在续保时根据选定累计责任限额与以往赔付率（主险+附加险）高低对保险费进行相应调整，调整规则如下：</w:t>
      </w:r>
    </w:p>
    <w:tbl>
      <w:tblPr>
        <w:tblStyle w:val="12"/>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977"/>
        <w:gridCol w:w="45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77" w:type="dxa"/>
            <w:tcBorders>
              <w:top w:val="single" w:color="auto" w:sz="12" w:space="0"/>
              <w:bottom w:val="single" w:color="auto" w:sz="4" w:space="0"/>
            </w:tcBorders>
            <w:shd w:val="clear" w:color="auto" w:fill="D9D9D9"/>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上年度赔付率</w:t>
            </w:r>
          </w:p>
        </w:tc>
        <w:tc>
          <w:tcPr>
            <w:tcW w:w="4594" w:type="dxa"/>
            <w:tcBorders>
              <w:top w:val="single" w:color="auto" w:sz="12" w:space="0"/>
              <w:bottom w:val="single" w:color="auto" w:sz="4" w:space="0"/>
            </w:tcBorders>
            <w:shd w:val="clear" w:color="auto" w:fill="D9D9D9"/>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续保调整系数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77" w:type="dxa"/>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&lt;50%</w:t>
            </w:r>
          </w:p>
        </w:tc>
        <w:tc>
          <w:tcPr>
            <w:tcW w:w="4594" w:type="dxa"/>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77" w:type="dxa"/>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50%≤赔付率＜60%</w:t>
            </w:r>
          </w:p>
        </w:tc>
        <w:tc>
          <w:tcPr>
            <w:tcW w:w="4594" w:type="dxa"/>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77" w:type="dxa"/>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60%≤赔付率＜70%</w:t>
            </w:r>
          </w:p>
        </w:tc>
        <w:tc>
          <w:tcPr>
            <w:tcW w:w="4594" w:type="dxa"/>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77" w:type="dxa"/>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70%≤赔付率＜75%</w:t>
            </w:r>
          </w:p>
        </w:tc>
        <w:tc>
          <w:tcPr>
            <w:tcW w:w="4594" w:type="dxa"/>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77" w:type="dxa"/>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75%≤赔付率＜85%</w:t>
            </w:r>
          </w:p>
        </w:tc>
        <w:tc>
          <w:tcPr>
            <w:tcW w:w="4594" w:type="dxa"/>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77" w:type="dxa"/>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85%≤赔付率＜95%</w:t>
            </w:r>
          </w:p>
        </w:tc>
        <w:tc>
          <w:tcPr>
            <w:tcW w:w="4594" w:type="dxa"/>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77" w:type="dxa"/>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95%≤赔付率＜105%</w:t>
            </w:r>
          </w:p>
        </w:tc>
        <w:tc>
          <w:tcPr>
            <w:tcW w:w="4594" w:type="dxa"/>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77" w:type="dxa"/>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105%≤赔付率＜115%</w:t>
            </w:r>
          </w:p>
        </w:tc>
        <w:tc>
          <w:tcPr>
            <w:tcW w:w="4594" w:type="dxa"/>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77" w:type="dxa"/>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115%≤赔付率＜125%</w:t>
            </w:r>
          </w:p>
        </w:tc>
        <w:tc>
          <w:tcPr>
            <w:tcW w:w="4594" w:type="dxa"/>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77" w:type="dxa"/>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125%≤赔付率＜135%</w:t>
            </w:r>
          </w:p>
        </w:tc>
        <w:tc>
          <w:tcPr>
            <w:tcW w:w="4594" w:type="dxa"/>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77" w:type="dxa"/>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135%≤赔付率＜145%</w:t>
            </w:r>
          </w:p>
        </w:tc>
        <w:tc>
          <w:tcPr>
            <w:tcW w:w="4594" w:type="dxa"/>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77" w:type="dxa"/>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145%≤赔付率＜155%</w:t>
            </w:r>
          </w:p>
        </w:tc>
        <w:tc>
          <w:tcPr>
            <w:tcW w:w="4594" w:type="dxa"/>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77" w:type="dxa"/>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155%≤赔付率＜165%</w:t>
            </w:r>
          </w:p>
        </w:tc>
        <w:tc>
          <w:tcPr>
            <w:tcW w:w="4594" w:type="dxa"/>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77" w:type="dxa"/>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165%≤赔付率＜175%</w:t>
            </w:r>
          </w:p>
        </w:tc>
        <w:tc>
          <w:tcPr>
            <w:tcW w:w="4594" w:type="dxa"/>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77" w:type="dxa"/>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175%≤赔付率＜185%</w:t>
            </w:r>
          </w:p>
        </w:tc>
        <w:tc>
          <w:tcPr>
            <w:tcW w:w="4594" w:type="dxa"/>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77" w:type="dxa"/>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185%≤赔付率＜195%</w:t>
            </w:r>
          </w:p>
        </w:tc>
        <w:tc>
          <w:tcPr>
            <w:tcW w:w="4594" w:type="dxa"/>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77" w:type="dxa"/>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185%≤赔付率＜205%</w:t>
            </w:r>
          </w:p>
        </w:tc>
        <w:tc>
          <w:tcPr>
            <w:tcW w:w="4594" w:type="dxa"/>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77" w:type="dxa"/>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205%≤赔付率＜215%</w:t>
            </w:r>
          </w:p>
        </w:tc>
        <w:tc>
          <w:tcPr>
            <w:tcW w:w="4594" w:type="dxa"/>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77" w:type="dxa"/>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＞215%</w:t>
            </w:r>
          </w:p>
        </w:tc>
        <w:tc>
          <w:tcPr>
            <w:tcW w:w="4594" w:type="dxa"/>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w:t>
            </w:r>
          </w:p>
        </w:tc>
      </w:tr>
    </w:tbl>
    <w:p>
      <w:pPr>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第二年续保赔付率=上一保险年度已决赔款金额/上一保险年度保险费；第三年续保赔付率=上两个保险年度已决赔款金额/上两个保险年度保险费。</w:t>
      </w:r>
    </w:p>
    <w:p>
      <w:pPr>
        <w:snapToGrid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七</w:t>
      </w:r>
      <w:r>
        <w:rPr>
          <w:rFonts w:hint="eastAsia" w:ascii="宋体" w:hAnsi="宋体" w:eastAsia="宋体" w:cs="宋体"/>
          <w:color w:val="000000" w:themeColor="text1"/>
          <w:sz w:val="24"/>
          <w:szCs w:val="24"/>
          <w:highlight w:val="none"/>
          <w14:textFill>
            <w14:solidFill>
              <w14:schemeClr w14:val="tx1"/>
            </w14:solidFill>
          </w14:textFill>
        </w:rPr>
        <w:t>）附加险责任限额/保险金额及保费比例</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8"/>
        <w:gridCol w:w="5502"/>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828" w:type="dxa"/>
            <w:noWrap w:val="0"/>
            <w:vAlign w:val="top"/>
          </w:tcPr>
          <w:p>
            <w:pPr>
              <w:snapToGrid w:val="0"/>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险种</w:t>
            </w:r>
          </w:p>
        </w:tc>
        <w:tc>
          <w:tcPr>
            <w:tcW w:w="5502" w:type="dxa"/>
            <w:noWrap w:val="0"/>
            <w:vAlign w:val="top"/>
          </w:tcPr>
          <w:p>
            <w:pPr>
              <w:snapToGrid w:val="0"/>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责任限额/保险金额</w:t>
            </w:r>
          </w:p>
        </w:tc>
        <w:tc>
          <w:tcPr>
            <w:tcW w:w="1298" w:type="dxa"/>
            <w:noWrap w:val="0"/>
            <w:vAlign w:val="top"/>
          </w:tcPr>
          <w:p>
            <w:pPr>
              <w:snapToGrid w:val="0"/>
              <w:ind w:left="0" w:leftChars="0" w:firstLine="0" w:firstLineChars="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保费比例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828" w:type="dxa"/>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公平责任保险</w:t>
            </w:r>
          </w:p>
        </w:tc>
        <w:tc>
          <w:tcPr>
            <w:tcW w:w="5502" w:type="dxa"/>
            <w:noWrap w:val="0"/>
            <w:vAlign w:val="top"/>
          </w:tcPr>
          <w:p>
            <w:pPr>
              <w:snapToGrid w:val="0"/>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每人10万元，累计责任限额为主险责任限额的</w:t>
            </w:r>
            <w:r>
              <w:rPr>
                <w:rFonts w:hint="eastAsia"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0%</w:t>
            </w:r>
          </w:p>
        </w:tc>
        <w:tc>
          <w:tcPr>
            <w:tcW w:w="1298" w:type="dxa"/>
            <w:noWrap w:val="0"/>
            <w:vAlign w:val="top"/>
          </w:tcPr>
          <w:p>
            <w:pPr>
              <w:snapToGrid w:val="0"/>
              <w:ind w:left="0" w:leftChars="0" w:firstLine="0" w:firstLineChars="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待报价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828" w:type="dxa"/>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医疗机构场所责任保险</w:t>
            </w:r>
          </w:p>
        </w:tc>
        <w:tc>
          <w:tcPr>
            <w:tcW w:w="5502" w:type="dxa"/>
            <w:noWrap w:val="0"/>
            <w:vAlign w:val="top"/>
          </w:tcPr>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每次事故和累计责任限额同主险累计责任限额</w:t>
            </w:r>
          </w:p>
        </w:tc>
        <w:tc>
          <w:tcPr>
            <w:tcW w:w="1298" w:type="dxa"/>
            <w:noWrap w:val="0"/>
            <w:vAlign w:val="top"/>
          </w:tcPr>
          <w:p>
            <w:pPr>
              <w:snapToGrid w:val="0"/>
              <w:ind w:left="0" w:leftChars="0" w:firstLine="0" w:firstLineChars="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待报价</w:t>
            </w:r>
          </w:p>
        </w:tc>
      </w:tr>
    </w:tbl>
    <w:p>
      <w:pPr>
        <w:snapToGrid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八</w:t>
      </w:r>
      <w:r>
        <w:rPr>
          <w:rFonts w:hint="eastAsia" w:ascii="宋体" w:hAnsi="宋体" w:eastAsia="宋体" w:cs="宋体"/>
          <w:color w:val="000000" w:themeColor="text1"/>
          <w:sz w:val="24"/>
          <w:szCs w:val="24"/>
          <w:highlight w:val="none"/>
          <w14:textFill>
            <w14:solidFill>
              <w14:schemeClr w14:val="tx1"/>
            </w14:solidFill>
          </w14:textFill>
        </w:rPr>
        <w:t>）保费计算方式</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6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pPr>
              <w:snapToGrid w:val="0"/>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险种</w:t>
            </w:r>
          </w:p>
        </w:tc>
        <w:tc>
          <w:tcPr>
            <w:tcW w:w="6826" w:type="dxa"/>
            <w:noWrap w:val="0"/>
            <w:vAlign w:val="top"/>
          </w:tcPr>
          <w:p>
            <w:pPr>
              <w:snapToGrid w:val="0"/>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保费计算方式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pPr>
              <w:snapToGrid w:val="0"/>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主险</w:t>
            </w:r>
          </w:p>
        </w:tc>
        <w:tc>
          <w:tcPr>
            <w:tcW w:w="6826" w:type="dxa"/>
            <w:noWrap w:val="0"/>
            <w:vAlign w:val="top"/>
          </w:tcPr>
          <w:p>
            <w:pPr>
              <w:snapToGrid w:val="0"/>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执业（助理）医师数×保费+注册护士数×保费+药师（士）技师（士）数×保费+总诊疗人次数×保费+出院人数×保费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pPr>
              <w:snapToGrid w:val="0"/>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附加险</w:t>
            </w:r>
          </w:p>
        </w:tc>
        <w:tc>
          <w:tcPr>
            <w:tcW w:w="6826" w:type="dxa"/>
            <w:noWrap w:val="0"/>
            <w:vAlign w:val="top"/>
          </w:tcPr>
          <w:p>
            <w:pPr>
              <w:snapToGrid w:val="0"/>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主险保费×附加险保费比例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pPr>
              <w:snapToGrid w:val="0"/>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医疗机构总保费</w:t>
            </w:r>
          </w:p>
        </w:tc>
        <w:tc>
          <w:tcPr>
            <w:tcW w:w="6826" w:type="dxa"/>
            <w:noWrap w:val="0"/>
            <w:vAlign w:val="top"/>
          </w:tcPr>
          <w:p>
            <w:pPr>
              <w:snapToGrid w:val="0"/>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主险保费+附加险保费</w:t>
            </w:r>
          </w:p>
        </w:tc>
      </w:tr>
    </w:tbl>
    <w:p>
      <w:pPr>
        <w:snapToGrid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九</w:t>
      </w:r>
      <w:r>
        <w:rPr>
          <w:rFonts w:hint="eastAsia" w:ascii="宋体" w:hAnsi="宋体" w:eastAsia="宋体" w:cs="宋体"/>
          <w:color w:val="000000" w:themeColor="text1"/>
          <w:sz w:val="24"/>
          <w:szCs w:val="24"/>
          <w:highlight w:val="none"/>
          <w14:textFill>
            <w14:solidFill>
              <w14:schemeClr w14:val="tx1"/>
            </w14:solidFill>
          </w14:textFill>
        </w:rPr>
        <w:t>）免赔额</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本项目无免赔额。</w:t>
      </w:r>
    </w:p>
    <w:p>
      <w:pPr>
        <w:snapToGrid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（十）服务期限</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本项目服务期限为</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年，投保合同每年签订。履约过程中，医疗机构及承保机构违约将承担相应的违约责任。</w:t>
      </w:r>
    </w:p>
    <w:p>
      <w:pPr>
        <w:snapToGrid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w:t>
      </w:r>
      <w:r>
        <w:rPr>
          <w:rFonts w:hint="eastAsia" w:ascii="宋体" w:hAnsi="宋体" w:eastAsia="宋体" w:cs="宋体"/>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color w:val="000000" w:themeColor="text1"/>
          <w:sz w:val="24"/>
          <w:szCs w:val="24"/>
          <w:highlight w:val="none"/>
          <w14:textFill>
            <w14:solidFill>
              <w14:schemeClr w14:val="tx1"/>
            </w14:solidFill>
          </w14:textFill>
        </w:rPr>
        <w:t>）保费支付</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见费出单。</w:t>
      </w:r>
    </w:p>
    <w:p>
      <w:pPr>
        <w:snapToGrid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w:t>
      </w:r>
      <w:r>
        <w:rPr>
          <w:rFonts w:hint="eastAsia" w:ascii="宋体" w:hAnsi="宋体" w:eastAsia="宋体" w:cs="宋体"/>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color w:val="000000" w:themeColor="text1"/>
          <w:sz w:val="24"/>
          <w:szCs w:val="24"/>
          <w:highlight w:val="none"/>
          <w14:textFill>
            <w14:solidFill>
              <w14:schemeClr w14:val="tx1"/>
            </w14:solidFill>
          </w14:textFill>
        </w:rPr>
        <w:t>）司法管辖</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中华人民共和国司法管辖（港、澳、台除外）。</w:t>
      </w:r>
    </w:p>
    <w:p>
      <w:pPr>
        <w:snapToGrid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w:t>
      </w:r>
      <w:r>
        <w:rPr>
          <w:rFonts w:hint="eastAsia" w:ascii="宋体" w:hAnsi="宋体" w:eastAsia="宋体" w:cs="宋体"/>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）特别约定</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1.医务人员特别约定</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保险所称医务人员，包括执业（助理）医师、注册护士、药师（士）、检验技师、影像技师（士）等卫生专业人员，以及医疗管理人员、进修医务人员、外聘医务人员、外请会诊医务人员、符合多点执业条件的医务人员等。无论其处于何岗位，只要实际从事具体诊疗活动，便属于医务人员。保险人同意投保医疗机构投保时可不提供外请医务人员名单。</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2.承保基础特别约定</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保险的承保基础为期内索赔制，即以索赔发生日期为依据确定保单是否负责赔偿。受害人向被保险人提出索赔的时间须发生在保险期间内，而受害人遭受损害的事故可以发生在保险期间内，也可以发生在保险期间之前（追溯期内）。</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3.追溯期特别约定</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追溯期是自保单生效日向前追溯的期间，是在以期内索赔为承保基础条件下，保险人给予被保险人承保责任期限上的优惠，即如设定有追溯期，则承保责任期限不仅仅是保险期限，对于在保险期限之前（追溯期内）发生的保险事故，保险人也予以赔偿。</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本保险设定追溯期，首次投保追无追溯期，第二年续保，追溯期为1年，第三年续保追溯期为2年</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第四年续保为3年，保险责任追诉期最高不超过3年</w:t>
      </w:r>
      <w:r>
        <w:rPr>
          <w:rFonts w:hint="eastAsia" w:ascii="宋体" w:hAnsi="宋体" w:eastAsia="宋体" w:cs="宋体"/>
          <w:color w:val="000000" w:themeColor="text1"/>
          <w:sz w:val="24"/>
          <w:szCs w:val="24"/>
          <w:highlight w:val="none"/>
          <w14:textFill>
            <w14:solidFill>
              <w14:schemeClr w14:val="tx1"/>
            </w14:solidFill>
          </w14:textFill>
        </w:rPr>
        <w:t>。</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追溯期内，被保险人的医务人员在诊疗活动中，因执业中非故意行为造成患者人身损害，在本保险期间内，由患者、其近亲属或合法继承人首次向被保险人提出索赔申请，依法应由被保险人承担民事赔偿责任时，保险人按照本保险合同的约定负责赔偿。</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4.足额投保特别约定</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医疗机构如实提供投保数据，保险人一旦承保，则视为医疗机构足额投保，且保险人不得因为被保险人在保险期限内发生医务人员变动、门诊人次数等投保数据变化而要求比例赔偿或拒赔赔偿。</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但医疗机构在保险期内发生医务人员变动，应及时向保险人告知，如果医务人员变动不超过投保医务人员数量的10%，保险人不增加保费或退还保费，如果医务人员变动超过投保医务人员数量的10%，保险人应进行相应的增加保费或退还保费。</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5.责任认定特别约定</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保险人以下列方式之一确定的被保险人的赔偿责任为基础，按照保险合同的约定进行赔偿：</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（1）被保险人和向其提出损害赔偿请求的患者协商并经保险人确认；</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（2）由重庆市各级医疗纠纷人民调解委员会的合理调解；</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（3）由重庆市各级卫生健康行政部门调解；</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（4）由重庆市医疗纠纷调解组织的合理调解并经保险人确认；</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（5）仲裁机构裁决；</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（6）人民法院判决；</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（7）保险人认可的其它方式认定。</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6.索赔单证特别约定</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被保险人向保险人请求赔偿时，应提交下列单证材料：</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（1）有关责任人的资格或执业证明；</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（2）患者或其近亲属的书面索赔申请；</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（3）保险事故情况说明、赔偿项目清单；</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经国家批准或认可的医疗事故技术鉴定或医疗过错司法鉴定机构进行鉴定的，应提供医疗事故技术鉴定或医疗过错司法鉴定书；经重庆市医疗纠纷第三方调解机构或相关行政部门或法院、仲裁机构依法调解、判决、裁决、裁定的，应当提供调解书或判决书、裁定书或具有同等法律效力的其他文件；</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（5）如将赔款支付给被保险人的，需提供被保险人已经向第三者支付赔偿金的书面证明材料；</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（6）投保人、被保险人所能提供的其他与确认保险事故的性质、原因、损失程度等有关的证明和资料。</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7.协助追偿特别约定</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因药品、消毒药剂、医疗器械的缺陷，或药品不良反应造成患者损害，保险人负责赔偿。保险人赔偿后，医疗机构应当协助保险人向负有责任的生产者追偿。</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8.诊疗活动特别约定</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保险所指的诊疗活动是指通过各种检查，使用药物、器械及手术等方法，对疾病作出判断和消除疾病、缓解病情、减轻痛苦、改善功能、延长生命、帮助患者恢复健康的活动，包括诊断、治疗、护理环节及体检、医学整形。</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9.律师费特别约定</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本保险所指的律师费是指向人民法院提起诉讼所产生的费用，律师费用每次事故赔偿限额为人民币10,000.00 元。</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10.医疗费用特别约定</w:t>
      </w:r>
    </w:p>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本保险特约承保在医疗侵权行为发生后的，按照医疗侵权责任划分程度应由医疗机构承担的合理的医疗费用（包含欠费）。在医疗侵权行为发生前已发生的医疗费用（包含欠费）本保险不予赔偿。</w:t>
      </w:r>
    </w:p>
    <w:p>
      <w:pPr>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11、专属服务人员配备（最低配置）</w:t>
      </w:r>
    </w:p>
    <w:p>
      <w:pPr>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报价人应为本项目服务配备专属服务人员，协助医疗机构处置医疗纠纷及理赔事宜，人数3人。</w:t>
      </w:r>
    </w:p>
    <w:p>
      <w:pPr>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报价人应为本项目服务配备专业的医疗纠纷调解团队，协助医疗机构处置医疗纠纷及理赔事宜，人数3人。</w:t>
      </w:r>
    </w:p>
    <w:p>
      <w:pPr>
        <w:rPr>
          <w:rFonts w:hint="eastAsia" w:ascii="宋体" w:hAnsi="宋体" w:eastAsia="宋体" w:cs="宋体"/>
          <w:highlight w:val="none"/>
        </w:rPr>
      </w:pPr>
      <w:r>
        <w:rPr>
          <w:rFonts w:hint="eastAsia" w:ascii="宋体" w:hAnsi="宋体" w:eastAsia="宋体" w:cs="宋体"/>
          <w:color w:val="000000" w:themeColor="text1"/>
          <w:sz w:val="24"/>
          <w:szCs w:val="24"/>
          <w:highlight w:val="none"/>
          <w14:textFill>
            <w14:solidFill>
              <w14:schemeClr w14:val="tx1"/>
            </w14:solidFill>
          </w14:textFill>
        </w:rPr>
        <w:t>提供服务人员名单，未经询价人批准，报价人不得随意变更投入服务团队人员。</w:t>
      </w:r>
      <w:r>
        <w:rPr>
          <w:rFonts w:hint="eastAsia" w:ascii="宋体" w:hAnsi="宋体" w:eastAsia="宋体" w:cs="宋体"/>
          <w:highlight w:val="none"/>
        </w:rPr>
        <w:br w:type="page"/>
      </w:r>
    </w:p>
    <w:p>
      <w:pPr>
        <w:pStyle w:val="2"/>
        <w:spacing w:line="360" w:lineRule="auto"/>
        <w:rPr>
          <w:rFonts w:ascii="宋体" w:hAnsi="宋体" w:eastAsia="宋体" w:cs="宋体"/>
          <w:sz w:val="28"/>
          <w:szCs w:val="28"/>
          <w:highlight w:val="none"/>
        </w:rPr>
      </w:pPr>
      <w:r>
        <w:rPr>
          <w:rFonts w:hint="eastAsia" w:ascii="宋体" w:hAnsi="宋体" w:eastAsia="宋体" w:cs="宋体"/>
          <w:highlight w:val="none"/>
        </w:rPr>
        <w:t>第三篇 项目商务要求</w:t>
      </w:r>
      <w:bookmarkEnd w:id="21"/>
      <w:bookmarkEnd w:id="22"/>
      <w:bookmarkStart w:id="28" w:name="_Toc505608529"/>
    </w:p>
    <w:bookmarkEnd w:id="23"/>
    <w:bookmarkEnd w:id="28"/>
    <w:p>
      <w:pPr>
        <w:spacing w:line="360" w:lineRule="auto"/>
        <w:ind w:firstLine="566" w:firstLineChars="236"/>
        <w:rPr>
          <w:rFonts w:hint="eastAsia" w:hAnsi="宋体" w:cs="宋体"/>
          <w:color w:val="000000" w:themeColor="text1"/>
          <w:sz w:val="24"/>
          <w:szCs w:val="24"/>
          <w:highlight w:val="none"/>
          <w14:textFill>
            <w14:solidFill>
              <w14:schemeClr w14:val="tx1"/>
            </w14:solidFill>
          </w14:textFill>
        </w:rPr>
      </w:pPr>
    </w:p>
    <w:p>
      <w:pPr>
        <w:spacing w:line="360" w:lineRule="auto"/>
        <w:ind w:firstLine="569" w:firstLineChars="236"/>
        <w:rPr>
          <w:rFonts w:hint="eastAsia" w:hAnsi="宋体" w:cs="宋体"/>
          <w:b/>
          <w:bCs/>
          <w:color w:val="000000" w:themeColor="text1"/>
          <w:sz w:val="24"/>
          <w:szCs w:val="24"/>
          <w:highlight w:val="none"/>
          <w14:textFill>
            <w14:solidFill>
              <w14:schemeClr w14:val="tx1"/>
            </w14:solidFill>
          </w14:textFill>
        </w:rPr>
      </w:pPr>
      <w:bookmarkStart w:id="29" w:name="_Toc27827"/>
      <w:bookmarkStart w:id="30" w:name="_Toc76387238"/>
      <w:bookmarkStart w:id="31" w:name="_Toc29821"/>
      <w:bookmarkStart w:id="32" w:name="_Toc25929265"/>
      <w:bookmarkStart w:id="33" w:name="_Toc12036"/>
      <w:bookmarkStart w:id="34" w:name="_Toc35440411"/>
      <w:r>
        <w:rPr>
          <w:rFonts w:hint="eastAsia" w:hAnsi="宋体" w:cs="宋体"/>
          <w:b/>
          <w:bCs/>
          <w:color w:val="000000" w:themeColor="text1"/>
          <w:sz w:val="24"/>
          <w:szCs w:val="24"/>
          <w:highlight w:val="none"/>
          <w14:textFill>
            <w14:solidFill>
              <w14:schemeClr w14:val="tx1"/>
            </w14:solidFill>
          </w14:textFill>
        </w:rPr>
        <w:t>一、服务期及服务地点</w:t>
      </w:r>
      <w:bookmarkEnd w:id="29"/>
      <w:bookmarkEnd w:id="30"/>
      <w:bookmarkEnd w:id="31"/>
    </w:p>
    <w:p>
      <w:pPr>
        <w:spacing w:line="360" w:lineRule="auto"/>
        <w:ind w:firstLine="566" w:firstLineChars="236"/>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（一）服务期</w:t>
      </w:r>
    </w:p>
    <w:p>
      <w:pPr>
        <w:spacing w:line="360" w:lineRule="auto"/>
        <w:ind w:firstLine="566" w:firstLineChars="236"/>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中标人在采购合同签订后服务</w:t>
      </w:r>
      <w:r>
        <w:rPr>
          <w:rFonts w:hint="eastAsia" w:hAnsi="宋体" w:cs="宋体"/>
          <w:color w:val="000000" w:themeColor="text1"/>
          <w:sz w:val="24"/>
          <w:szCs w:val="24"/>
          <w:highlight w:val="none"/>
          <w:lang w:val="en-US" w:eastAsia="zh-CN"/>
          <w14:textFill>
            <w14:solidFill>
              <w14:schemeClr w14:val="tx1"/>
            </w14:solidFill>
          </w14:textFill>
        </w:rPr>
        <w:t>1</w:t>
      </w:r>
      <w:r>
        <w:rPr>
          <w:rFonts w:hint="eastAsia" w:hAnsi="宋体" w:cs="宋体"/>
          <w:color w:val="000000" w:themeColor="text1"/>
          <w:sz w:val="24"/>
          <w:szCs w:val="24"/>
          <w:highlight w:val="none"/>
          <w14:textFill>
            <w14:solidFill>
              <w14:schemeClr w14:val="tx1"/>
            </w14:solidFill>
          </w14:textFill>
        </w:rPr>
        <w:t>年。</w:t>
      </w:r>
    </w:p>
    <w:p>
      <w:pPr>
        <w:spacing w:line="360" w:lineRule="auto"/>
        <w:ind w:firstLine="566" w:firstLineChars="236"/>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（二）服务地点</w:t>
      </w:r>
    </w:p>
    <w:p>
      <w:pPr>
        <w:spacing w:line="360" w:lineRule="auto"/>
        <w:ind w:firstLine="566" w:firstLineChars="236"/>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重庆医科大学附属口腔医院</w:t>
      </w:r>
      <w:r>
        <w:rPr>
          <w:rFonts w:hint="eastAsia" w:hAnsi="宋体" w:cs="宋体"/>
          <w:color w:val="000000" w:themeColor="text1"/>
          <w:sz w:val="24"/>
          <w:szCs w:val="24"/>
          <w:highlight w:val="none"/>
          <w:lang w:val="en-US" w:eastAsia="zh-CN"/>
          <w14:textFill>
            <w14:solidFill>
              <w14:schemeClr w14:val="tx1"/>
            </w14:solidFill>
          </w14:textFill>
        </w:rPr>
        <w:t>冉家坝院区</w:t>
      </w:r>
      <w:r>
        <w:rPr>
          <w:rFonts w:hint="eastAsia" w:hAnsi="宋体" w:cs="宋体"/>
          <w:color w:val="000000" w:themeColor="text1"/>
          <w:sz w:val="24"/>
          <w:szCs w:val="24"/>
          <w:highlight w:val="none"/>
          <w14:textFill>
            <w14:solidFill>
              <w14:schemeClr w14:val="tx1"/>
            </w14:solidFill>
          </w14:textFill>
        </w:rPr>
        <w:t>、上清寺院区及</w:t>
      </w:r>
      <w:r>
        <w:rPr>
          <w:rFonts w:hint="eastAsia" w:hAnsi="宋体" w:cs="宋体"/>
          <w:color w:val="000000" w:themeColor="text1"/>
          <w:sz w:val="24"/>
          <w:szCs w:val="24"/>
          <w:highlight w:val="none"/>
          <w:lang w:val="en-US" w:eastAsia="zh-CN"/>
          <w14:textFill>
            <w14:solidFill>
              <w14:schemeClr w14:val="tx1"/>
            </w14:solidFill>
          </w14:textFill>
        </w:rPr>
        <w:t>龙湖光年门诊部（沙南街门诊部）</w:t>
      </w:r>
      <w:r>
        <w:rPr>
          <w:rFonts w:hint="eastAsia" w:hAnsi="宋体" w:cs="宋体"/>
          <w:color w:val="000000" w:themeColor="text1"/>
          <w:sz w:val="24"/>
          <w:szCs w:val="24"/>
          <w:highlight w:val="none"/>
          <w14:textFill>
            <w14:solidFill>
              <w14:schemeClr w14:val="tx1"/>
            </w14:solidFill>
          </w14:textFill>
        </w:rPr>
        <w:t>、附三院门诊、大学城门诊。</w:t>
      </w:r>
    </w:p>
    <w:p>
      <w:pPr>
        <w:spacing w:line="360" w:lineRule="auto"/>
        <w:ind w:firstLine="569" w:firstLineChars="236"/>
        <w:rPr>
          <w:rFonts w:hint="eastAsia" w:hAnsi="宋体" w:cs="宋体"/>
          <w:b/>
          <w:bCs/>
          <w:color w:val="000000" w:themeColor="text1"/>
          <w:sz w:val="24"/>
          <w:szCs w:val="24"/>
          <w:highlight w:val="none"/>
          <w14:textFill>
            <w14:solidFill>
              <w14:schemeClr w14:val="tx1"/>
            </w14:solidFill>
          </w14:textFill>
        </w:rPr>
      </w:pPr>
      <w:bookmarkStart w:id="35" w:name="_Toc1414"/>
      <w:bookmarkStart w:id="36" w:name="_Toc16942"/>
      <w:bookmarkStart w:id="37" w:name="_Toc76387239"/>
      <w:bookmarkStart w:id="38" w:name="_Toc267320050"/>
      <w:r>
        <w:rPr>
          <w:rFonts w:hint="eastAsia" w:hAnsi="宋体" w:cs="宋体"/>
          <w:b/>
          <w:bCs/>
          <w:color w:val="000000" w:themeColor="text1"/>
          <w:sz w:val="24"/>
          <w:szCs w:val="24"/>
          <w:highlight w:val="none"/>
          <w14:textFill>
            <w14:solidFill>
              <w14:schemeClr w14:val="tx1"/>
            </w14:solidFill>
          </w14:textFill>
        </w:rPr>
        <w:t>二、报价要求</w:t>
      </w:r>
      <w:bookmarkEnd w:id="35"/>
      <w:bookmarkEnd w:id="36"/>
      <w:bookmarkEnd w:id="37"/>
    </w:p>
    <w:p>
      <w:pPr>
        <w:spacing w:line="360" w:lineRule="auto"/>
        <w:ind w:firstLine="566" w:firstLineChars="236"/>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（一）投标报价包含主险和附加险。</w:t>
      </w:r>
    </w:p>
    <w:p>
      <w:pPr>
        <w:spacing w:line="360" w:lineRule="auto"/>
        <w:ind w:firstLine="566" w:firstLineChars="236"/>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（二）本次报价须为人民币报价，包含完成本项目的所有费用。</w:t>
      </w:r>
    </w:p>
    <w:bookmarkEnd w:id="38"/>
    <w:p>
      <w:pPr>
        <w:spacing w:line="360" w:lineRule="auto"/>
        <w:ind w:firstLine="569" w:firstLineChars="236"/>
        <w:rPr>
          <w:rFonts w:hint="eastAsia" w:hAnsi="宋体" w:cs="宋体"/>
          <w:b/>
          <w:bCs/>
          <w:color w:val="000000" w:themeColor="text1"/>
          <w:sz w:val="24"/>
          <w:szCs w:val="24"/>
          <w:highlight w:val="none"/>
          <w14:textFill>
            <w14:solidFill>
              <w14:schemeClr w14:val="tx1"/>
            </w14:solidFill>
          </w14:textFill>
        </w:rPr>
      </w:pPr>
      <w:bookmarkStart w:id="39" w:name="_Toc31195"/>
      <w:bookmarkStart w:id="40" w:name="_Toc267320051"/>
      <w:bookmarkStart w:id="41" w:name="_Toc15686"/>
      <w:bookmarkStart w:id="42" w:name="_Toc76387240"/>
      <w:r>
        <w:rPr>
          <w:rFonts w:hint="eastAsia" w:hAnsi="宋体" w:cs="宋体"/>
          <w:b/>
          <w:bCs/>
          <w:color w:val="000000" w:themeColor="text1"/>
          <w:sz w:val="24"/>
          <w:szCs w:val="24"/>
          <w:highlight w:val="none"/>
          <w14:textFill>
            <w14:solidFill>
              <w14:schemeClr w14:val="tx1"/>
            </w14:solidFill>
          </w14:textFill>
        </w:rPr>
        <w:t>三、付款方式</w:t>
      </w:r>
      <w:bookmarkEnd w:id="39"/>
      <w:bookmarkEnd w:id="40"/>
      <w:bookmarkEnd w:id="41"/>
      <w:bookmarkEnd w:id="42"/>
    </w:p>
    <w:p>
      <w:pPr>
        <w:spacing w:line="360" w:lineRule="auto"/>
        <w:ind w:firstLine="566" w:firstLineChars="236"/>
        <w:rPr>
          <w:rFonts w:hint="eastAsia" w:hAnsi="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按年支付保费</w:t>
      </w:r>
      <w:r>
        <w:rPr>
          <w:rFonts w:hint="eastAsia" w:hAnsi="宋体" w:cs="宋体"/>
          <w:color w:val="000000" w:themeColor="text1"/>
          <w:sz w:val="24"/>
          <w:szCs w:val="24"/>
          <w:highlight w:val="none"/>
          <w:lang w:eastAsia="zh-CN"/>
          <w14:textFill>
            <w14:solidFill>
              <w14:schemeClr w14:val="tx1"/>
            </w14:solidFill>
          </w14:textFill>
        </w:rPr>
        <w:t>，</w:t>
      </w:r>
      <w:r>
        <w:rPr>
          <w:rFonts w:hint="eastAsia" w:hAnsi="宋体" w:cs="宋体"/>
          <w:color w:val="000000" w:themeColor="text1"/>
          <w:sz w:val="24"/>
          <w:szCs w:val="24"/>
          <w:highlight w:val="none"/>
          <w14:textFill>
            <w14:solidFill>
              <w14:schemeClr w14:val="tx1"/>
            </w14:solidFill>
          </w14:textFill>
        </w:rPr>
        <w:t>见费出单，保费在保险合同签署后15个工作日内支付</w:t>
      </w:r>
      <w:r>
        <w:rPr>
          <w:rFonts w:hint="eastAsia" w:hAnsi="宋体" w:cs="宋体"/>
          <w:color w:val="000000" w:themeColor="text1"/>
          <w:sz w:val="24"/>
          <w:szCs w:val="24"/>
          <w:highlight w:val="none"/>
          <w:lang w:eastAsia="zh-CN"/>
          <w14:textFill>
            <w14:solidFill>
              <w14:schemeClr w14:val="tx1"/>
            </w14:solidFill>
          </w14:textFill>
        </w:rPr>
        <w:t>。</w:t>
      </w:r>
    </w:p>
    <w:p>
      <w:pPr>
        <w:spacing w:line="360" w:lineRule="auto"/>
        <w:ind w:firstLine="569" w:firstLineChars="236"/>
        <w:rPr>
          <w:rFonts w:hint="eastAsia" w:hAnsi="宋体" w:cs="宋体"/>
          <w:b/>
          <w:bCs/>
          <w:color w:val="000000" w:themeColor="text1"/>
          <w:sz w:val="24"/>
          <w:szCs w:val="24"/>
          <w:highlight w:val="none"/>
          <w14:textFill>
            <w14:solidFill>
              <w14:schemeClr w14:val="tx1"/>
            </w14:solidFill>
          </w14:textFill>
        </w:rPr>
      </w:pPr>
      <w:bookmarkStart w:id="43" w:name="_Toc267320054"/>
      <w:bookmarkStart w:id="44" w:name="_Toc76387241"/>
      <w:bookmarkStart w:id="45" w:name="_Toc16192"/>
      <w:bookmarkStart w:id="46" w:name="_Toc19731"/>
      <w:r>
        <w:rPr>
          <w:rFonts w:hint="eastAsia" w:hAnsi="宋体" w:cs="宋体"/>
          <w:b/>
          <w:bCs/>
          <w:color w:val="000000" w:themeColor="text1"/>
          <w:sz w:val="24"/>
          <w:szCs w:val="24"/>
          <w:highlight w:val="none"/>
          <w14:textFill>
            <w14:solidFill>
              <w14:schemeClr w14:val="tx1"/>
            </w14:solidFill>
          </w14:textFill>
        </w:rPr>
        <w:t>四、</w:t>
      </w:r>
      <w:bookmarkEnd w:id="43"/>
      <w:r>
        <w:rPr>
          <w:rFonts w:hint="eastAsia" w:hAnsi="宋体" w:cs="宋体"/>
          <w:b/>
          <w:bCs/>
          <w:color w:val="000000" w:themeColor="text1"/>
          <w:sz w:val="24"/>
          <w:szCs w:val="24"/>
          <w:highlight w:val="none"/>
          <w14:textFill>
            <w14:solidFill>
              <w14:schemeClr w14:val="tx1"/>
            </w14:solidFill>
          </w14:textFill>
        </w:rPr>
        <w:t>其他商务要求内容</w:t>
      </w:r>
      <w:bookmarkEnd w:id="44"/>
      <w:bookmarkEnd w:id="45"/>
      <w:bookmarkEnd w:id="46"/>
    </w:p>
    <w:p>
      <w:pPr>
        <w:spacing w:line="360" w:lineRule="auto"/>
        <w:ind w:firstLine="566" w:firstLineChars="236"/>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（一）投标人必须在投标文件中对以上条款和服务承诺明确列出，承诺内容必须达到本篇及招标文件其他条款的要求。</w:t>
      </w:r>
    </w:p>
    <w:p>
      <w:pPr>
        <w:spacing w:line="360" w:lineRule="auto"/>
        <w:ind w:firstLine="566" w:firstLineChars="236"/>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承保的保险公司应负责组建完备的保险服务体系，配备保险服务专员、配备专业的医疗纠纷调解人员，协助医疗机构处置医疗纠纷及理赔事宜，人数不少于3人。承保的保险公司应提供服务人员名单，未经询价人批准，报价人不得随意变更服务团队人员；</w:t>
      </w:r>
    </w:p>
    <w:p>
      <w:pPr>
        <w:spacing w:line="360" w:lineRule="auto"/>
        <w:ind w:firstLine="566" w:firstLineChars="236"/>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（三）承保的保险公司服务人员应负责落实本保险相关服务工作，包括但不限于承保服务工作、理赔服务工作、医疗纠纷的预防和调处工作、理赔资料收集完成理赔工作等；</w:t>
      </w:r>
    </w:p>
    <w:p>
      <w:pPr>
        <w:spacing w:line="360" w:lineRule="auto"/>
        <w:ind w:firstLine="566" w:firstLineChars="236"/>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（四）承保的保险公司应负责为医疗机构办理投保手续，出具并递送保险单和相关单证；</w:t>
      </w:r>
    </w:p>
    <w:p>
      <w:pPr>
        <w:spacing w:line="360" w:lineRule="auto"/>
        <w:ind w:firstLine="566" w:firstLineChars="236"/>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（五）承保的保险公司应参与医疗纠纷调解工作、保险理赔的审核工作及支付赔款工作；</w:t>
      </w:r>
    </w:p>
    <w:p>
      <w:pPr>
        <w:spacing w:line="360" w:lineRule="auto"/>
        <w:ind w:firstLine="566" w:firstLineChars="236"/>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（六）承保的保险公司应负责配合医疗机构做好本项目相关培训、宣传工作；</w:t>
      </w:r>
    </w:p>
    <w:p>
      <w:pPr>
        <w:spacing w:line="360" w:lineRule="auto"/>
        <w:ind w:firstLine="566" w:firstLineChars="236"/>
        <w:rPr>
          <w:rFonts w:hint="eastAsia" w:hAnsi="宋体" w:cs="宋体"/>
          <w:color w:val="000000" w:themeColor="text1"/>
          <w:sz w:val="24"/>
          <w:szCs w:val="24"/>
          <w:highlight w:val="none"/>
          <w:lang w:eastAsia="zh-CN"/>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（七）承保的保险公司应负责为投保单位及保险经纪人提供相应的承保、理赔数据。</w:t>
      </w:r>
    </w:p>
    <w:p>
      <w:pPr>
        <w:spacing w:line="360" w:lineRule="auto"/>
        <w:ind w:firstLine="569" w:firstLineChars="236"/>
        <w:rPr>
          <w:rFonts w:hint="eastAsia"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lang w:eastAsia="zh-CN"/>
          <w14:textFill>
            <w14:solidFill>
              <w14:schemeClr w14:val="tx1"/>
            </w14:solidFill>
          </w14:textFill>
        </w:rPr>
        <w:t>五</w:t>
      </w:r>
      <w:r>
        <w:rPr>
          <w:rFonts w:hint="eastAsia" w:hAnsi="宋体" w:cs="宋体"/>
          <w:b/>
          <w:bCs/>
          <w:color w:val="000000" w:themeColor="text1"/>
          <w:sz w:val="24"/>
          <w:szCs w:val="24"/>
          <w:highlight w:val="none"/>
          <w14:textFill>
            <w14:solidFill>
              <w14:schemeClr w14:val="tx1"/>
            </w14:solidFill>
          </w14:textFill>
        </w:rPr>
        <w:t>、知识产权</w:t>
      </w:r>
      <w:bookmarkEnd w:id="32"/>
      <w:bookmarkEnd w:id="33"/>
      <w:bookmarkEnd w:id="34"/>
    </w:p>
    <w:p>
      <w:pPr>
        <w:spacing w:line="360" w:lineRule="auto"/>
        <w:ind w:firstLine="566" w:firstLineChars="236"/>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(一)采购人在中华人民共和国境内使用成交供应商提供的货物及服务时免受第三方提出的侵犯其专利权或其它知识产权的起诉。如果第三方提出侵权指控，成交供应商应承担由此而引起的一切法律责任和费用。</w:t>
      </w:r>
    </w:p>
    <w:p>
      <w:pPr>
        <w:spacing w:line="360" w:lineRule="auto"/>
        <w:ind w:firstLine="566" w:firstLineChars="236"/>
        <w:rPr>
          <w:rFonts w:hint="eastAsia" w:hAnsi="宋体" w:cs="宋体"/>
          <w:color w:val="000000" w:themeColor="text1"/>
          <w:sz w:val="24"/>
          <w:szCs w:val="24"/>
          <w:highlight w:val="none"/>
          <w14:textFill>
            <w14:solidFill>
              <w14:schemeClr w14:val="tx1"/>
            </w14:solidFill>
          </w14:textFill>
        </w:rPr>
      </w:pPr>
      <w:bookmarkStart w:id="47" w:name="_Toc35440413"/>
      <w:bookmarkStart w:id="48" w:name="_Toc20385"/>
      <w:bookmarkStart w:id="49" w:name="_Toc25929266"/>
      <w:r>
        <w:rPr>
          <w:rFonts w:hint="eastAsia" w:hAnsi="宋体" w:cs="宋体"/>
          <w:color w:val="000000" w:themeColor="text1"/>
          <w:sz w:val="24"/>
          <w:szCs w:val="24"/>
          <w:highlight w:val="none"/>
          <w:lang w:eastAsia="zh-CN"/>
          <w14:textFill>
            <w14:solidFill>
              <w14:schemeClr w14:val="tx1"/>
            </w14:solidFill>
          </w14:textFill>
        </w:rPr>
        <w:t>六</w:t>
      </w:r>
      <w:r>
        <w:rPr>
          <w:rFonts w:hint="eastAsia" w:hAnsi="宋体" w:cs="宋体"/>
          <w:color w:val="000000" w:themeColor="text1"/>
          <w:sz w:val="24"/>
          <w:szCs w:val="24"/>
          <w:highlight w:val="none"/>
          <w14:textFill>
            <w14:solidFill>
              <w14:schemeClr w14:val="tx1"/>
            </w14:solidFill>
          </w14:textFill>
        </w:rPr>
        <w:t>、</w:t>
      </w:r>
      <w:bookmarkStart w:id="50" w:name="_Toc344475125"/>
      <w:r>
        <w:rPr>
          <w:rFonts w:hint="eastAsia" w:hAnsi="宋体" w:cs="宋体"/>
          <w:color w:val="000000" w:themeColor="text1"/>
          <w:sz w:val="24"/>
          <w:szCs w:val="24"/>
          <w:highlight w:val="none"/>
          <w14:textFill>
            <w14:solidFill>
              <w14:schemeClr w14:val="tx1"/>
            </w14:solidFill>
          </w14:textFill>
        </w:rPr>
        <w:t>其他</w:t>
      </w:r>
      <w:bookmarkEnd w:id="47"/>
      <w:bookmarkEnd w:id="48"/>
      <w:bookmarkEnd w:id="49"/>
    </w:p>
    <w:bookmarkEnd w:id="50"/>
    <w:p>
      <w:pPr>
        <w:spacing w:line="360" w:lineRule="auto"/>
        <w:ind w:firstLine="566" w:firstLineChars="236"/>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（一）供应商必须在响应文件中对以上条款和服务承诺明确列出，承诺内容必须达到本篇及竞争性磋商文件其他条款的要求。</w:t>
      </w:r>
    </w:p>
    <w:p>
      <w:pPr>
        <w:spacing w:line="360" w:lineRule="auto"/>
        <w:ind w:firstLine="566" w:firstLineChars="236"/>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（二）其他未尽事宜由供需双方在采购合同中详细约定。</w:t>
      </w:r>
    </w:p>
    <w:p>
      <w:pPr>
        <w:spacing w:line="360" w:lineRule="auto"/>
        <w:ind w:firstLine="566" w:firstLineChars="236"/>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（三）如中标人因违反或不履行投标时承诺的商务和服务要求时，采购人有权按照相关法律法规的规定，取消其中标资格，若对采购人造成损失的，采购人将依法追究其责任。</w:t>
      </w:r>
    </w:p>
    <w:p>
      <w:pPr>
        <w:spacing w:line="360" w:lineRule="auto"/>
        <w:ind w:firstLine="600" w:firstLineChars="250"/>
        <w:rPr>
          <w:rFonts w:hAnsi="宋体" w:cs="方正仿宋_GBK"/>
          <w:sz w:val="24"/>
          <w:szCs w:val="24"/>
          <w:highlight w:val="none"/>
        </w:rPr>
      </w:pPr>
      <w:r>
        <w:rPr>
          <w:rFonts w:hint="eastAsia" w:hAnsi="宋体" w:cs="宋体"/>
          <w:color w:val="000000" w:themeColor="text1"/>
          <w:sz w:val="24"/>
          <w:szCs w:val="24"/>
          <w:highlight w:val="none"/>
          <w14:textFill>
            <w14:solidFill>
              <w14:schemeClr w14:val="tx1"/>
            </w14:solidFill>
          </w14:textFill>
        </w:rPr>
        <w:t>（四）中标人应保证所提供的产品和服务整体功能的实现。如发生以下情况，1.如中标人放弃中标项目或在签订合时擅自改变成交状态的；2.所提供的服务等方面未满足投标文件及相关承诺的；3.证实提交了相关虚假文件的。发生上述情况，采购人除取消其成交资格同时，有权退货及终止合同，中标人一切损失自行承担。同时中标人须返回采购人已支付所有合同金额，中标人并按合同总额的百分之三十赔付采购人延误损失，并列入医院失信名单处理（3年内不能参加医院所有采购活动）。</w:t>
      </w:r>
    </w:p>
    <w:p>
      <w:pPr>
        <w:spacing w:line="360" w:lineRule="auto"/>
        <w:ind w:firstLine="360" w:firstLineChars="150"/>
        <w:rPr>
          <w:rFonts w:hAnsi="宋体" w:cs="方正仿宋_GBK"/>
          <w:sz w:val="24"/>
          <w:szCs w:val="24"/>
          <w:highlight w:val="none"/>
        </w:rPr>
      </w:pPr>
    </w:p>
    <w:p>
      <w:pPr>
        <w:spacing w:line="360" w:lineRule="auto"/>
        <w:ind w:firstLine="480"/>
        <w:rPr>
          <w:rFonts w:hAnsi="宋体" w:cs="宋体"/>
          <w:sz w:val="28"/>
          <w:szCs w:val="28"/>
          <w:highlight w:val="none"/>
        </w:rPr>
      </w:pPr>
    </w:p>
    <w:p>
      <w:pPr>
        <w:spacing w:line="360" w:lineRule="auto"/>
        <w:ind w:firstLine="480"/>
        <w:rPr>
          <w:rFonts w:hAnsi="宋体" w:cs="宋体"/>
          <w:sz w:val="28"/>
          <w:szCs w:val="28"/>
          <w:highlight w:val="none"/>
        </w:rPr>
      </w:pPr>
      <w:r>
        <w:rPr>
          <w:rFonts w:hAnsi="宋体" w:cs="宋体"/>
          <w:sz w:val="28"/>
          <w:szCs w:val="28"/>
          <w:highlight w:val="none"/>
        </w:rPr>
        <w:br w:type="page"/>
      </w:r>
    </w:p>
    <w:p>
      <w:pPr>
        <w:pStyle w:val="2"/>
        <w:spacing w:line="360" w:lineRule="auto"/>
        <w:rPr>
          <w:rFonts w:ascii="宋体" w:hAnsi="宋体" w:eastAsia="宋体" w:cs="宋体"/>
          <w:highlight w:val="none"/>
        </w:rPr>
      </w:pPr>
      <w:bookmarkStart w:id="51" w:name="_Toc19113859"/>
      <w:bookmarkStart w:id="52" w:name="_Toc98942890"/>
      <w:r>
        <w:rPr>
          <w:rFonts w:hint="eastAsia" w:ascii="宋体" w:hAnsi="宋体" w:eastAsia="宋体" w:cs="宋体"/>
          <w:highlight w:val="none"/>
        </w:rPr>
        <w:t>第四篇 资格审查及评分办法</w:t>
      </w:r>
      <w:bookmarkEnd w:id="51"/>
      <w:bookmarkEnd w:id="52"/>
    </w:p>
    <w:p>
      <w:pPr>
        <w:pStyle w:val="3"/>
        <w:rPr>
          <w:highlight w:val="none"/>
        </w:rPr>
      </w:pPr>
      <w:bookmarkStart w:id="53" w:name="_Toc98942891"/>
      <w:r>
        <w:rPr>
          <w:rFonts w:hint="eastAsia"/>
          <w:highlight w:val="none"/>
        </w:rPr>
        <w:t>一、资格审查</w:t>
      </w:r>
      <w:bookmarkEnd w:id="53"/>
    </w:p>
    <w:p>
      <w:pPr>
        <w:spacing w:line="360" w:lineRule="auto"/>
        <w:ind w:firstLine="566" w:firstLineChars="236"/>
        <w:rPr>
          <w:rFonts w:hAnsi="宋体" w:cs="宋体"/>
          <w:sz w:val="24"/>
          <w:szCs w:val="24"/>
          <w:highlight w:val="none"/>
        </w:rPr>
      </w:pPr>
      <w:r>
        <w:rPr>
          <w:rFonts w:hint="eastAsia" w:hAnsi="宋体" w:cs="宋体"/>
          <w:sz w:val="24"/>
          <w:szCs w:val="24"/>
          <w:highlight w:val="none"/>
        </w:rPr>
        <w:t>评标委员会对</w:t>
      </w:r>
      <w:r>
        <w:rPr>
          <w:rFonts w:hint="eastAsia" w:hAnsi="宋体" w:cs="宋体"/>
          <w:sz w:val="24"/>
          <w:szCs w:val="24"/>
          <w:highlight w:val="none"/>
          <w:lang w:eastAsia="zh-CN"/>
        </w:rPr>
        <w:t>响应文件</w:t>
      </w:r>
      <w:r>
        <w:rPr>
          <w:rFonts w:hint="eastAsia" w:hAnsi="宋体" w:cs="宋体"/>
          <w:sz w:val="24"/>
          <w:szCs w:val="24"/>
          <w:highlight w:val="none"/>
        </w:rPr>
        <w:t>中的资格证明文件进行审查。资格审查资料表如下：</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25"/>
        <w:gridCol w:w="2760"/>
        <w:gridCol w:w="4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序号</w:t>
            </w:r>
          </w:p>
        </w:tc>
        <w:tc>
          <w:tcPr>
            <w:tcW w:w="3885" w:type="dxa"/>
            <w:gridSpan w:val="2"/>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检查因素</w:t>
            </w:r>
          </w:p>
        </w:tc>
        <w:tc>
          <w:tcPr>
            <w:tcW w:w="4948" w:type="dxa"/>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vAlign w:val="center"/>
          </w:tcPr>
          <w:p>
            <w:pPr>
              <w:spacing w:line="360" w:lineRule="auto"/>
              <w:jc w:val="center"/>
              <w:rPr>
                <w:rFonts w:hAnsi="宋体" w:cs="宋体"/>
                <w:sz w:val="21"/>
                <w:szCs w:val="21"/>
                <w:highlight w:val="none"/>
              </w:rPr>
            </w:pPr>
            <w:r>
              <w:rPr>
                <w:rFonts w:hint="eastAsia" w:hAnsi="宋体" w:cs="宋体"/>
                <w:sz w:val="21"/>
                <w:szCs w:val="21"/>
                <w:highlight w:val="none"/>
              </w:rPr>
              <w:t>1</w:t>
            </w:r>
          </w:p>
        </w:tc>
        <w:tc>
          <w:tcPr>
            <w:tcW w:w="1125" w:type="dxa"/>
            <w:vMerge w:val="restart"/>
            <w:vAlign w:val="center"/>
          </w:tcPr>
          <w:p>
            <w:pPr>
              <w:spacing w:line="360" w:lineRule="auto"/>
              <w:rPr>
                <w:rFonts w:hAnsi="宋体" w:cs="宋体"/>
                <w:sz w:val="21"/>
                <w:szCs w:val="21"/>
                <w:highlight w:val="none"/>
                <w:lang w:val="zh-CN"/>
              </w:rPr>
            </w:pPr>
            <w:r>
              <w:rPr>
                <w:rFonts w:hint="eastAsia" w:hAnsi="宋体" w:cs="宋体"/>
                <w:sz w:val="21"/>
                <w:szCs w:val="21"/>
                <w:highlight w:val="none"/>
                <w:lang w:val="zh-CN"/>
              </w:rPr>
              <w:t>投标人应符合的基本资格条件</w:t>
            </w:r>
          </w:p>
        </w:tc>
        <w:tc>
          <w:tcPr>
            <w:tcW w:w="2760" w:type="dxa"/>
            <w:vAlign w:val="center"/>
          </w:tcPr>
          <w:p>
            <w:pPr>
              <w:rPr>
                <w:rFonts w:hAnsi="宋体" w:cs="宋体"/>
                <w:sz w:val="21"/>
                <w:szCs w:val="21"/>
                <w:highlight w:val="none"/>
              </w:rPr>
            </w:pPr>
            <w:r>
              <w:rPr>
                <w:rFonts w:hint="eastAsia" w:hAnsi="宋体" w:cs="宋体"/>
                <w:sz w:val="21"/>
                <w:szCs w:val="21"/>
                <w:highlight w:val="none"/>
              </w:rPr>
              <w:t>（1）具有独立承担民事责任的能力</w:t>
            </w:r>
          </w:p>
        </w:tc>
        <w:tc>
          <w:tcPr>
            <w:tcW w:w="4948" w:type="dxa"/>
            <w:vAlign w:val="center"/>
          </w:tcPr>
          <w:p>
            <w:pPr>
              <w:rPr>
                <w:rFonts w:hAnsi="宋体" w:cs="宋体"/>
                <w:sz w:val="21"/>
                <w:szCs w:val="21"/>
                <w:highlight w:val="none"/>
              </w:rPr>
            </w:pPr>
            <w:r>
              <w:rPr>
                <w:rFonts w:hint="eastAsia" w:hAnsi="宋体" w:cs="宋体"/>
                <w:sz w:val="21"/>
                <w:szCs w:val="21"/>
                <w:highlight w:val="none"/>
              </w:rPr>
              <w:t>投标人法人营业执照（副本）或事业单位法人证书（副本）或个体工商户营业执照或有效的自然人身份证明、组织机构代码证复印件； 投标人法定代表人身份证明和法定代表人授权代表委托书。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sz w:val="21"/>
                <w:szCs w:val="21"/>
                <w:highlight w:val="none"/>
              </w:rPr>
            </w:pPr>
          </w:p>
        </w:tc>
        <w:tc>
          <w:tcPr>
            <w:tcW w:w="1125" w:type="dxa"/>
            <w:vMerge w:val="continue"/>
            <w:vAlign w:val="center"/>
          </w:tcPr>
          <w:p>
            <w:pPr>
              <w:spacing w:line="360" w:lineRule="auto"/>
              <w:rPr>
                <w:rFonts w:hAnsi="宋体" w:cs="宋体"/>
                <w:sz w:val="21"/>
                <w:szCs w:val="21"/>
                <w:highlight w:val="none"/>
                <w:lang w:val="zh-CN"/>
              </w:rPr>
            </w:pPr>
          </w:p>
        </w:tc>
        <w:tc>
          <w:tcPr>
            <w:tcW w:w="2760" w:type="dxa"/>
            <w:vAlign w:val="center"/>
          </w:tcPr>
          <w:p>
            <w:pPr>
              <w:rPr>
                <w:rFonts w:hAnsi="宋体" w:cs="宋体"/>
                <w:sz w:val="21"/>
                <w:szCs w:val="21"/>
                <w:highlight w:val="none"/>
              </w:rPr>
            </w:pPr>
            <w:r>
              <w:rPr>
                <w:rFonts w:hint="eastAsia" w:hAnsi="宋体" w:cs="宋体"/>
                <w:sz w:val="21"/>
                <w:szCs w:val="21"/>
                <w:highlight w:val="none"/>
                <w:lang w:val="zh-CN"/>
              </w:rPr>
              <w:t>（2）</w:t>
            </w:r>
            <w:r>
              <w:rPr>
                <w:rFonts w:hint="eastAsia" w:hAnsi="宋体" w:cs="宋体"/>
                <w:sz w:val="21"/>
                <w:szCs w:val="21"/>
                <w:highlight w:val="none"/>
              </w:rPr>
              <w:t>具有良好的商业信誉和健全的财务会计制度</w:t>
            </w:r>
          </w:p>
        </w:tc>
        <w:tc>
          <w:tcPr>
            <w:tcW w:w="4948" w:type="dxa"/>
            <w:vMerge w:val="restart"/>
            <w:vAlign w:val="center"/>
          </w:tcPr>
          <w:p>
            <w:pPr>
              <w:rPr>
                <w:rFonts w:hAnsi="宋体" w:cs="宋体"/>
                <w:sz w:val="21"/>
                <w:szCs w:val="21"/>
                <w:highlight w:val="none"/>
              </w:rPr>
            </w:pPr>
            <w:r>
              <w:rPr>
                <w:rFonts w:hint="eastAsia" w:hAnsi="宋体" w:cs="宋体"/>
                <w:sz w:val="21"/>
                <w:szCs w:val="21"/>
                <w:highlight w:val="none"/>
              </w:rPr>
              <w:t>投标人提供书面声明（见格式文件）；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sz w:val="21"/>
                <w:szCs w:val="21"/>
                <w:highlight w:val="none"/>
              </w:rPr>
            </w:pPr>
          </w:p>
        </w:tc>
        <w:tc>
          <w:tcPr>
            <w:tcW w:w="1125" w:type="dxa"/>
            <w:vMerge w:val="continue"/>
            <w:vAlign w:val="center"/>
          </w:tcPr>
          <w:p>
            <w:pPr>
              <w:spacing w:line="360" w:lineRule="auto"/>
              <w:rPr>
                <w:rFonts w:hAnsi="宋体" w:cs="宋体"/>
                <w:sz w:val="21"/>
                <w:szCs w:val="21"/>
                <w:highlight w:val="none"/>
                <w:lang w:val="zh-CN"/>
              </w:rPr>
            </w:pPr>
          </w:p>
        </w:tc>
        <w:tc>
          <w:tcPr>
            <w:tcW w:w="2760" w:type="dxa"/>
            <w:vAlign w:val="center"/>
          </w:tcPr>
          <w:p>
            <w:pPr>
              <w:rPr>
                <w:rFonts w:hAnsi="宋体" w:cs="宋体"/>
                <w:sz w:val="21"/>
                <w:szCs w:val="21"/>
                <w:highlight w:val="none"/>
                <w:lang w:val="zh-CN"/>
              </w:rPr>
            </w:pPr>
            <w:r>
              <w:rPr>
                <w:rFonts w:hint="eastAsia" w:hAnsi="宋体" w:cs="宋体"/>
                <w:sz w:val="21"/>
                <w:szCs w:val="21"/>
                <w:highlight w:val="none"/>
                <w:lang w:val="zh-CN"/>
              </w:rPr>
              <w:t>（3）具有履行合同所必需的设备和专业技术能力</w:t>
            </w:r>
          </w:p>
        </w:tc>
        <w:tc>
          <w:tcPr>
            <w:tcW w:w="4948" w:type="dxa"/>
            <w:vMerge w:val="continue"/>
            <w:vAlign w:val="center"/>
          </w:tcPr>
          <w:p>
            <w:pPr>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sz w:val="21"/>
                <w:szCs w:val="21"/>
                <w:highlight w:val="none"/>
              </w:rPr>
            </w:pPr>
          </w:p>
        </w:tc>
        <w:tc>
          <w:tcPr>
            <w:tcW w:w="1125" w:type="dxa"/>
            <w:vMerge w:val="continue"/>
            <w:vAlign w:val="center"/>
          </w:tcPr>
          <w:p>
            <w:pPr>
              <w:spacing w:line="360" w:lineRule="auto"/>
              <w:rPr>
                <w:rFonts w:hAnsi="宋体" w:cs="宋体"/>
                <w:sz w:val="21"/>
                <w:szCs w:val="21"/>
                <w:highlight w:val="none"/>
                <w:lang w:val="zh-CN"/>
              </w:rPr>
            </w:pPr>
          </w:p>
        </w:tc>
        <w:tc>
          <w:tcPr>
            <w:tcW w:w="2760" w:type="dxa"/>
            <w:vAlign w:val="center"/>
          </w:tcPr>
          <w:p>
            <w:pPr>
              <w:spacing w:line="360" w:lineRule="auto"/>
              <w:rPr>
                <w:rFonts w:hAnsi="宋体" w:cs="宋体"/>
                <w:sz w:val="21"/>
                <w:szCs w:val="21"/>
                <w:highlight w:val="none"/>
                <w:lang w:val="zh-CN"/>
              </w:rPr>
            </w:pPr>
            <w:r>
              <w:rPr>
                <w:rFonts w:hint="eastAsia" w:hAnsi="宋体" w:cs="宋体"/>
                <w:sz w:val="21"/>
                <w:szCs w:val="21"/>
                <w:highlight w:val="none"/>
                <w:lang w:val="zh-CN"/>
              </w:rPr>
              <w:t>（4）有依法缴纳税收和社会保障金的良好记录</w:t>
            </w:r>
          </w:p>
        </w:tc>
        <w:tc>
          <w:tcPr>
            <w:tcW w:w="4948" w:type="dxa"/>
            <w:vMerge w:val="continue"/>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sz w:val="21"/>
                <w:szCs w:val="21"/>
                <w:highlight w:val="none"/>
              </w:rPr>
            </w:pPr>
          </w:p>
        </w:tc>
        <w:tc>
          <w:tcPr>
            <w:tcW w:w="1125" w:type="dxa"/>
            <w:vMerge w:val="continue"/>
            <w:vAlign w:val="center"/>
          </w:tcPr>
          <w:p>
            <w:pPr>
              <w:spacing w:line="360" w:lineRule="auto"/>
              <w:rPr>
                <w:rFonts w:hAnsi="宋体" w:cs="宋体"/>
                <w:sz w:val="21"/>
                <w:szCs w:val="21"/>
                <w:highlight w:val="none"/>
                <w:lang w:val="zh-CN"/>
              </w:rPr>
            </w:pPr>
          </w:p>
        </w:tc>
        <w:tc>
          <w:tcPr>
            <w:tcW w:w="2760" w:type="dxa"/>
            <w:vAlign w:val="center"/>
          </w:tcPr>
          <w:p>
            <w:pPr>
              <w:rPr>
                <w:rFonts w:hAnsi="宋体" w:cs="宋体"/>
                <w:sz w:val="21"/>
                <w:szCs w:val="21"/>
                <w:highlight w:val="none"/>
                <w:lang w:val="zh-CN"/>
              </w:rPr>
            </w:pPr>
            <w:r>
              <w:rPr>
                <w:rFonts w:hint="eastAsia" w:hAnsi="宋体" w:cs="宋体"/>
                <w:sz w:val="21"/>
                <w:szCs w:val="21"/>
                <w:highlight w:val="none"/>
              </w:rPr>
              <w:t>（5）参加采购活动前三年内，在经营活动中没有重大违法记录（注</w:t>
            </w:r>
            <w:r>
              <w:rPr>
                <w:rFonts w:hint="eastAsia"/>
                <w:sz w:val="21"/>
                <w:szCs w:val="21"/>
                <w:highlight w:val="none"/>
              </w:rPr>
              <w:fldChar w:fldCharType="begin"/>
            </w:r>
            <w:r>
              <w:rPr>
                <w:rFonts w:hint="eastAsia"/>
                <w:sz w:val="21"/>
                <w:szCs w:val="21"/>
                <w:highlight w:val="none"/>
              </w:rPr>
              <w:instrText xml:space="preserve"> eq \o\ac(○,2)</w:instrText>
            </w:r>
            <w:r>
              <w:rPr>
                <w:rFonts w:hint="eastAsia"/>
                <w:sz w:val="21"/>
                <w:szCs w:val="21"/>
                <w:highlight w:val="none"/>
              </w:rPr>
              <w:fldChar w:fldCharType="end"/>
            </w:r>
            <w:r>
              <w:rPr>
                <w:rFonts w:hint="eastAsia" w:hAnsi="宋体" w:cs="宋体"/>
                <w:sz w:val="21"/>
                <w:szCs w:val="21"/>
                <w:highlight w:val="none"/>
              </w:rPr>
              <w:t>）</w:t>
            </w:r>
          </w:p>
        </w:tc>
        <w:tc>
          <w:tcPr>
            <w:tcW w:w="4948" w:type="dxa"/>
            <w:vMerge w:val="continue"/>
            <w:vAlign w:val="center"/>
          </w:tcPr>
          <w:p>
            <w:pPr>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95" w:type="dxa"/>
            <w:vMerge w:val="continue"/>
            <w:vAlign w:val="center"/>
          </w:tcPr>
          <w:p>
            <w:pPr>
              <w:spacing w:line="360" w:lineRule="auto"/>
              <w:jc w:val="center"/>
              <w:rPr>
                <w:rFonts w:hAnsi="宋体" w:cs="宋体"/>
                <w:sz w:val="21"/>
                <w:szCs w:val="21"/>
                <w:highlight w:val="none"/>
              </w:rPr>
            </w:pPr>
          </w:p>
        </w:tc>
        <w:tc>
          <w:tcPr>
            <w:tcW w:w="1125" w:type="dxa"/>
            <w:vMerge w:val="continue"/>
            <w:vAlign w:val="center"/>
          </w:tcPr>
          <w:p>
            <w:pPr>
              <w:spacing w:line="360" w:lineRule="auto"/>
              <w:rPr>
                <w:rFonts w:hAnsi="宋体" w:cs="宋体"/>
                <w:sz w:val="21"/>
                <w:szCs w:val="21"/>
                <w:highlight w:val="none"/>
              </w:rPr>
            </w:pPr>
          </w:p>
        </w:tc>
        <w:tc>
          <w:tcPr>
            <w:tcW w:w="2760" w:type="dxa"/>
            <w:vAlign w:val="center"/>
          </w:tcPr>
          <w:p>
            <w:pPr>
              <w:rPr>
                <w:rFonts w:hAnsi="宋体" w:cs="宋体"/>
                <w:sz w:val="21"/>
                <w:szCs w:val="21"/>
                <w:highlight w:val="none"/>
              </w:rPr>
            </w:pPr>
            <w:r>
              <w:rPr>
                <w:rFonts w:hint="eastAsia" w:hAnsi="宋体" w:cs="宋体"/>
                <w:sz w:val="21"/>
                <w:szCs w:val="21"/>
                <w:highlight w:val="none"/>
              </w:rPr>
              <w:t>（6）法律、行政法规规定的其他条件</w:t>
            </w:r>
          </w:p>
        </w:tc>
        <w:tc>
          <w:tcPr>
            <w:tcW w:w="4948" w:type="dxa"/>
            <w:vAlign w:val="center"/>
          </w:tcPr>
          <w:p>
            <w:pPr>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spacing w:line="360" w:lineRule="auto"/>
              <w:jc w:val="center"/>
              <w:rPr>
                <w:rFonts w:hAnsi="宋体" w:cs="宋体"/>
                <w:sz w:val="21"/>
                <w:szCs w:val="21"/>
                <w:highlight w:val="none"/>
              </w:rPr>
            </w:pPr>
            <w:r>
              <w:rPr>
                <w:rFonts w:hint="eastAsia" w:hAnsi="宋体" w:cs="宋体"/>
                <w:sz w:val="21"/>
                <w:szCs w:val="21"/>
                <w:highlight w:val="none"/>
              </w:rPr>
              <w:t>2</w:t>
            </w:r>
          </w:p>
        </w:tc>
        <w:tc>
          <w:tcPr>
            <w:tcW w:w="3885" w:type="dxa"/>
            <w:gridSpan w:val="2"/>
            <w:vAlign w:val="center"/>
          </w:tcPr>
          <w:p>
            <w:pPr>
              <w:spacing w:line="360" w:lineRule="auto"/>
              <w:rPr>
                <w:rFonts w:hAnsi="宋体" w:cs="宋体"/>
                <w:sz w:val="21"/>
                <w:szCs w:val="21"/>
                <w:highlight w:val="none"/>
              </w:rPr>
            </w:pPr>
            <w:r>
              <w:rPr>
                <w:rFonts w:hint="eastAsia" w:hAnsi="宋体" w:cs="宋体"/>
                <w:sz w:val="21"/>
                <w:szCs w:val="21"/>
                <w:highlight w:val="none"/>
              </w:rPr>
              <w:t>特定资格条件</w:t>
            </w:r>
          </w:p>
        </w:tc>
        <w:tc>
          <w:tcPr>
            <w:tcW w:w="4948" w:type="dxa"/>
            <w:vAlign w:val="center"/>
          </w:tcPr>
          <w:p>
            <w:pPr>
              <w:spacing w:line="360" w:lineRule="auto"/>
              <w:rPr>
                <w:rFonts w:hAnsi="宋体" w:cs="宋体"/>
                <w:sz w:val="21"/>
                <w:szCs w:val="21"/>
                <w:highlight w:val="none"/>
              </w:rPr>
            </w:pPr>
            <w:r>
              <w:rPr>
                <w:rFonts w:hint="eastAsia" w:hAnsi="宋体" w:cs="宋体"/>
                <w:sz w:val="21"/>
                <w:szCs w:val="21"/>
                <w:highlight w:val="none"/>
              </w:rPr>
              <w:t>按特定资格要求</w:t>
            </w:r>
          </w:p>
        </w:tc>
      </w:tr>
    </w:tbl>
    <w:p>
      <w:pPr>
        <w:spacing w:line="360" w:lineRule="auto"/>
        <w:rPr>
          <w:rFonts w:hAnsi="宋体" w:cs="宋体"/>
          <w:sz w:val="24"/>
          <w:szCs w:val="24"/>
          <w:highlight w:val="none"/>
        </w:rPr>
      </w:pPr>
    </w:p>
    <w:p>
      <w:pPr>
        <w:snapToGrid w:val="0"/>
        <w:spacing w:line="400" w:lineRule="exact"/>
        <w:ind w:firstLine="420" w:firstLineChars="200"/>
        <w:rPr>
          <w:rFonts w:hAnsi="宋体" w:cs="宋体"/>
          <w:sz w:val="21"/>
          <w:szCs w:val="21"/>
          <w:highlight w:val="none"/>
        </w:rPr>
      </w:pPr>
      <w:r>
        <w:rPr>
          <w:rFonts w:hint="eastAsia" w:hAnsi="宋体" w:cs="宋体"/>
          <w:sz w:val="21"/>
          <w:szCs w:val="21"/>
          <w:highlight w:val="none"/>
        </w:rPr>
        <w:t>注：</w:t>
      </w:r>
      <w:r>
        <w:rPr>
          <w:rFonts w:hint="eastAsia" w:hAnsi="宋体" w:cs="宋体"/>
          <w:sz w:val="21"/>
          <w:szCs w:val="21"/>
          <w:highlight w:val="none"/>
        </w:rPr>
        <w:fldChar w:fldCharType="begin"/>
      </w:r>
      <w:r>
        <w:rPr>
          <w:rFonts w:hint="eastAsia" w:hAnsi="宋体" w:cs="宋体"/>
          <w:sz w:val="21"/>
          <w:szCs w:val="21"/>
          <w:highlight w:val="none"/>
        </w:rPr>
        <w:instrText xml:space="preserve"> eq \o\ac(○,1)</w:instrText>
      </w:r>
      <w:r>
        <w:rPr>
          <w:rFonts w:hint="eastAsia" w:hAnsi="宋体" w:cs="宋体"/>
          <w:sz w:val="21"/>
          <w:szCs w:val="21"/>
          <w:highlight w:val="none"/>
        </w:rPr>
        <w:fldChar w:fldCharType="end"/>
      </w:r>
      <w:r>
        <w:rPr>
          <w:rFonts w:hint="eastAsia" w:hAnsi="宋体" w:cs="宋体"/>
          <w:sz w:val="21"/>
          <w:szCs w:val="21"/>
          <w:highlight w:val="none"/>
        </w:rPr>
        <w:t>投标人按“多证合一”登记制度办理营业执照的，税务登记证（副本）和社会保险登记证以投标人所提供的营业执照（副本）复印件为准。</w:t>
      </w:r>
    </w:p>
    <w:p>
      <w:pPr>
        <w:snapToGrid w:val="0"/>
        <w:spacing w:line="360" w:lineRule="auto"/>
        <w:ind w:firstLine="420" w:firstLineChars="200"/>
        <w:rPr>
          <w:rFonts w:hAnsi="宋体" w:cs="宋体"/>
          <w:sz w:val="21"/>
          <w:szCs w:val="21"/>
          <w:highlight w:val="none"/>
        </w:rPr>
      </w:pPr>
      <w:r>
        <w:rPr>
          <w:rFonts w:hint="eastAsia" w:hAnsi="宋体" w:cs="宋体"/>
          <w:sz w:val="21"/>
          <w:szCs w:val="21"/>
          <w:highlight w:val="none"/>
        </w:rPr>
        <w:fldChar w:fldCharType="begin"/>
      </w:r>
      <w:r>
        <w:rPr>
          <w:rFonts w:hint="eastAsia" w:hAnsi="宋体" w:cs="宋体"/>
          <w:sz w:val="21"/>
          <w:szCs w:val="21"/>
          <w:highlight w:val="none"/>
        </w:rPr>
        <w:instrText xml:space="preserve"> eq \o\ac(○,2)</w:instrText>
      </w:r>
      <w:r>
        <w:rPr>
          <w:rFonts w:hint="eastAsia" w:hAnsi="宋体" w:cs="宋体"/>
          <w:sz w:val="21"/>
          <w:szCs w:val="21"/>
          <w:highlight w:val="none"/>
        </w:rPr>
        <w:fldChar w:fldCharType="end"/>
      </w:r>
      <w:r>
        <w:rPr>
          <w:rFonts w:hint="eastAsia" w:hAnsi="宋体" w:cs="宋体"/>
          <w:sz w:val="21"/>
          <w:szCs w:val="21"/>
          <w:highlight w:val="none"/>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pStyle w:val="3"/>
        <w:rPr>
          <w:highlight w:val="none"/>
        </w:rPr>
      </w:pPr>
      <w:bookmarkStart w:id="54" w:name="_Toc98942892"/>
      <w:bookmarkStart w:id="55" w:name="_Toc10474389"/>
      <w:r>
        <w:rPr>
          <w:rFonts w:hint="eastAsia"/>
          <w:highlight w:val="none"/>
        </w:rPr>
        <w:t>二、评标方法</w:t>
      </w:r>
      <w:bookmarkEnd w:id="54"/>
      <w:bookmarkEnd w:id="55"/>
    </w:p>
    <w:p>
      <w:pPr>
        <w:spacing w:line="360" w:lineRule="auto"/>
        <w:ind w:firstLine="566" w:firstLineChars="236"/>
        <w:rPr>
          <w:rFonts w:hint="eastAsia" w:hAnsi="宋体" w:cs="宋体"/>
          <w:sz w:val="24"/>
          <w:szCs w:val="24"/>
          <w:highlight w:val="none"/>
        </w:rPr>
      </w:pPr>
      <w:r>
        <w:rPr>
          <w:rFonts w:hint="eastAsia" w:hAnsi="宋体" w:cs="宋体"/>
          <w:sz w:val="24"/>
          <w:szCs w:val="24"/>
          <w:highlight w:val="none"/>
        </w:rPr>
        <w:t>本项目采用</w:t>
      </w:r>
      <w:r>
        <w:rPr>
          <w:rFonts w:hint="eastAsia" w:hAnsi="宋体" w:cs="宋体"/>
          <w:sz w:val="24"/>
          <w:szCs w:val="24"/>
          <w:highlight w:val="none"/>
        </w:rPr>
        <w:t>综合评分法</w:t>
      </w:r>
      <w:r>
        <w:rPr>
          <w:rFonts w:hint="eastAsia" w:hAnsi="宋体" w:cs="宋体"/>
          <w:sz w:val="24"/>
          <w:szCs w:val="24"/>
          <w:highlight w:val="none"/>
        </w:rPr>
        <w:t>进行评标。综合评分法，是指</w:t>
      </w:r>
      <w:r>
        <w:rPr>
          <w:rFonts w:hint="eastAsia" w:hAnsi="宋体" w:cs="宋体"/>
          <w:sz w:val="24"/>
          <w:szCs w:val="24"/>
          <w:highlight w:val="none"/>
          <w:lang w:eastAsia="zh-CN"/>
        </w:rPr>
        <w:t>响应文件</w:t>
      </w:r>
      <w:r>
        <w:rPr>
          <w:rFonts w:hint="eastAsia" w:hAnsi="宋体" w:cs="宋体"/>
          <w:sz w:val="24"/>
          <w:szCs w:val="24"/>
          <w:highlight w:val="none"/>
        </w:rPr>
        <w:t>满足</w:t>
      </w:r>
      <w:r>
        <w:rPr>
          <w:rFonts w:hint="eastAsia" w:hAnsi="宋体" w:cs="宋体"/>
          <w:sz w:val="24"/>
          <w:szCs w:val="24"/>
          <w:highlight w:val="none"/>
          <w:lang w:eastAsia="zh-CN"/>
        </w:rPr>
        <w:t>竞争性比选文件</w:t>
      </w:r>
      <w:r>
        <w:rPr>
          <w:rFonts w:hint="eastAsia" w:hAnsi="宋体" w:cs="宋体"/>
          <w:sz w:val="24"/>
          <w:szCs w:val="24"/>
          <w:highlight w:val="none"/>
        </w:rPr>
        <w:t>全部实质性要求且按照评审因素的量化指标评审得分最高的投标人为中标候选人的评标方法。投标人总得分为价格、技术、商务等评定因素分别按照相应权重值计算分项得分后相加，满分为100分。</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（一）符合性审查</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评标委员会应当对符合资格的投标人的</w:t>
      </w:r>
      <w:r>
        <w:rPr>
          <w:rFonts w:hint="eastAsia" w:hAnsi="宋体" w:cs="宋体"/>
          <w:sz w:val="24"/>
          <w:szCs w:val="24"/>
          <w:highlight w:val="none"/>
          <w:lang w:eastAsia="zh-CN"/>
        </w:rPr>
        <w:t>响应文件</w:t>
      </w:r>
      <w:r>
        <w:rPr>
          <w:rFonts w:hint="eastAsia" w:hAnsi="宋体" w:cs="宋体"/>
          <w:sz w:val="24"/>
          <w:szCs w:val="24"/>
          <w:highlight w:val="none"/>
        </w:rPr>
        <w:t>进行符合性审查，以确定其是否满足</w:t>
      </w:r>
      <w:r>
        <w:rPr>
          <w:rFonts w:hint="eastAsia" w:hAnsi="宋体" w:cs="宋体"/>
          <w:sz w:val="24"/>
          <w:szCs w:val="24"/>
          <w:highlight w:val="none"/>
          <w:lang w:eastAsia="zh-CN"/>
        </w:rPr>
        <w:t>竞争性比选文件</w:t>
      </w:r>
      <w:r>
        <w:rPr>
          <w:rFonts w:hint="eastAsia" w:hAnsi="宋体" w:cs="宋体"/>
          <w:sz w:val="24"/>
          <w:szCs w:val="24"/>
          <w:highlight w:val="none"/>
        </w:rPr>
        <w:t>的实质性要求。符合性审查资料表如下：</w:t>
      </w:r>
    </w:p>
    <w:tbl>
      <w:tblPr>
        <w:tblStyle w:val="12"/>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457"/>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80" w:type="dxa"/>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序号</w:t>
            </w:r>
          </w:p>
        </w:tc>
        <w:tc>
          <w:tcPr>
            <w:tcW w:w="3441" w:type="dxa"/>
            <w:gridSpan w:val="2"/>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评审因素</w:t>
            </w:r>
          </w:p>
        </w:tc>
        <w:tc>
          <w:tcPr>
            <w:tcW w:w="5409" w:type="dxa"/>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80" w:type="dxa"/>
            <w:vMerge w:val="restart"/>
            <w:vAlign w:val="center"/>
          </w:tcPr>
          <w:p>
            <w:pPr>
              <w:spacing w:line="360" w:lineRule="auto"/>
              <w:jc w:val="center"/>
              <w:rPr>
                <w:rFonts w:hAnsi="宋体" w:cs="宋体"/>
                <w:sz w:val="21"/>
                <w:szCs w:val="21"/>
                <w:highlight w:val="none"/>
              </w:rPr>
            </w:pPr>
            <w:r>
              <w:rPr>
                <w:rFonts w:hint="eastAsia" w:hAnsi="宋体" w:cs="宋体"/>
                <w:sz w:val="21"/>
                <w:szCs w:val="21"/>
                <w:highlight w:val="none"/>
              </w:rPr>
              <w:t>1</w:t>
            </w:r>
          </w:p>
        </w:tc>
        <w:tc>
          <w:tcPr>
            <w:tcW w:w="1457" w:type="dxa"/>
            <w:vMerge w:val="restart"/>
            <w:vAlign w:val="center"/>
          </w:tcPr>
          <w:p>
            <w:pPr>
              <w:spacing w:line="360" w:lineRule="auto"/>
              <w:rPr>
                <w:rFonts w:hAnsi="宋体" w:cs="宋体"/>
                <w:sz w:val="21"/>
                <w:szCs w:val="21"/>
                <w:highlight w:val="none"/>
              </w:rPr>
            </w:pPr>
            <w:r>
              <w:rPr>
                <w:rFonts w:hint="eastAsia" w:hAnsi="宋体" w:cs="宋体"/>
                <w:sz w:val="21"/>
                <w:szCs w:val="21"/>
                <w:highlight w:val="none"/>
              </w:rPr>
              <w:t>有效性审查</w:t>
            </w:r>
          </w:p>
        </w:tc>
        <w:tc>
          <w:tcPr>
            <w:tcW w:w="1984" w:type="dxa"/>
            <w:vAlign w:val="center"/>
          </w:tcPr>
          <w:p>
            <w:pPr>
              <w:spacing w:line="360" w:lineRule="auto"/>
              <w:rPr>
                <w:rFonts w:hAnsi="宋体" w:cs="宋体"/>
                <w:sz w:val="21"/>
                <w:szCs w:val="21"/>
                <w:highlight w:val="none"/>
              </w:rPr>
            </w:pPr>
            <w:r>
              <w:rPr>
                <w:rFonts w:hint="eastAsia" w:hAnsi="宋体" w:cs="宋体"/>
                <w:sz w:val="21"/>
                <w:szCs w:val="21"/>
                <w:highlight w:val="none"/>
                <w:lang w:eastAsia="zh-CN"/>
              </w:rPr>
              <w:t>响应文件</w:t>
            </w:r>
            <w:r>
              <w:rPr>
                <w:rFonts w:hint="eastAsia" w:hAnsi="宋体" w:cs="宋体"/>
                <w:sz w:val="21"/>
                <w:szCs w:val="21"/>
                <w:highlight w:val="none"/>
              </w:rPr>
              <w:t>签署</w:t>
            </w:r>
          </w:p>
        </w:tc>
        <w:tc>
          <w:tcPr>
            <w:tcW w:w="5409" w:type="dxa"/>
            <w:vAlign w:val="center"/>
          </w:tcPr>
          <w:p>
            <w:pPr>
              <w:spacing w:line="360" w:lineRule="auto"/>
              <w:rPr>
                <w:rFonts w:hAnsi="宋体" w:cs="宋体"/>
                <w:sz w:val="21"/>
                <w:szCs w:val="21"/>
                <w:highlight w:val="none"/>
              </w:rPr>
            </w:pPr>
            <w:r>
              <w:rPr>
                <w:rFonts w:hint="eastAsia" w:hAnsi="宋体" w:cs="宋体"/>
                <w:sz w:val="21"/>
                <w:szCs w:val="21"/>
                <w:highlight w:val="none"/>
                <w:lang w:eastAsia="zh-CN"/>
              </w:rPr>
              <w:t>响应文件</w:t>
            </w:r>
            <w:r>
              <w:rPr>
                <w:rFonts w:hint="eastAsia" w:hAnsi="宋体" w:cs="宋体"/>
                <w:sz w:val="21"/>
                <w:szCs w:val="21"/>
                <w:highlight w:val="none"/>
              </w:rPr>
              <w:t>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80" w:type="dxa"/>
            <w:vMerge w:val="continue"/>
            <w:vAlign w:val="center"/>
          </w:tcPr>
          <w:p>
            <w:pPr>
              <w:spacing w:line="360" w:lineRule="auto"/>
              <w:jc w:val="center"/>
              <w:rPr>
                <w:rFonts w:hAnsi="宋体" w:cs="宋体"/>
                <w:sz w:val="21"/>
                <w:szCs w:val="21"/>
                <w:highlight w:val="none"/>
              </w:rPr>
            </w:pPr>
          </w:p>
        </w:tc>
        <w:tc>
          <w:tcPr>
            <w:tcW w:w="1457" w:type="dxa"/>
            <w:vMerge w:val="continue"/>
            <w:vAlign w:val="center"/>
          </w:tcPr>
          <w:p>
            <w:pPr>
              <w:spacing w:line="360" w:lineRule="auto"/>
              <w:rPr>
                <w:rFonts w:hAnsi="宋体" w:cs="宋体"/>
                <w:sz w:val="21"/>
                <w:szCs w:val="21"/>
                <w:highlight w:val="none"/>
              </w:rPr>
            </w:pPr>
          </w:p>
        </w:tc>
        <w:tc>
          <w:tcPr>
            <w:tcW w:w="1984" w:type="dxa"/>
            <w:vAlign w:val="center"/>
          </w:tcPr>
          <w:p>
            <w:pPr>
              <w:spacing w:line="360" w:lineRule="auto"/>
              <w:rPr>
                <w:rFonts w:hAnsi="宋体" w:cs="宋体"/>
                <w:sz w:val="21"/>
                <w:szCs w:val="21"/>
                <w:highlight w:val="none"/>
                <w:lang w:val="zh-CN"/>
              </w:rPr>
            </w:pPr>
            <w:r>
              <w:rPr>
                <w:rFonts w:hint="eastAsia" w:hAnsi="宋体" w:cs="宋体"/>
                <w:sz w:val="21"/>
                <w:szCs w:val="21"/>
                <w:highlight w:val="none"/>
                <w:lang w:val="zh-CN"/>
              </w:rPr>
              <w:t>投标方案</w:t>
            </w:r>
          </w:p>
        </w:tc>
        <w:tc>
          <w:tcPr>
            <w:tcW w:w="5409" w:type="dxa"/>
            <w:vAlign w:val="center"/>
          </w:tcPr>
          <w:p>
            <w:pPr>
              <w:spacing w:line="360" w:lineRule="auto"/>
              <w:rPr>
                <w:rFonts w:hAnsi="宋体" w:cs="宋体"/>
                <w:sz w:val="21"/>
                <w:szCs w:val="21"/>
                <w:highlight w:val="none"/>
              </w:rPr>
            </w:pPr>
            <w:r>
              <w:rPr>
                <w:rFonts w:hint="eastAsia" w:hAnsi="宋体" w:cs="宋体"/>
                <w:sz w:val="21"/>
                <w:szCs w:val="21"/>
                <w:highlight w:val="none"/>
                <w:lang w:val="zh-CN"/>
              </w:rPr>
              <w:t>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80" w:type="dxa"/>
            <w:vMerge w:val="continue"/>
            <w:vAlign w:val="center"/>
          </w:tcPr>
          <w:p>
            <w:pPr>
              <w:spacing w:line="360" w:lineRule="auto"/>
              <w:jc w:val="center"/>
              <w:rPr>
                <w:rFonts w:hAnsi="宋体" w:cs="宋体"/>
                <w:sz w:val="21"/>
                <w:szCs w:val="21"/>
                <w:highlight w:val="none"/>
              </w:rPr>
            </w:pPr>
          </w:p>
        </w:tc>
        <w:tc>
          <w:tcPr>
            <w:tcW w:w="1457" w:type="dxa"/>
            <w:vMerge w:val="continue"/>
            <w:vAlign w:val="center"/>
          </w:tcPr>
          <w:p>
            <w:pPr>
              <w:spacing w:line="360" w:lineRule="auto"/>
              <w:rPr>
                <w:rFonts w:hAnsi="宋体" w:cs="宋体"/>
                <w:sz w:val="21"/>
                <w:szCs w:val="21"/>
                <w:highlight w:val="none"/>
              </w:rPr>
            </w:pPr>
          </w:p>
        </w:tc>
        <w:tc>
          <w:tcPr>
            <w:tcW w:w="1984" w:type="dxa"/>
            <w:vAlign w:val="center"/>
          </w:tcPr>
          <w:p>
            <w:pPr>
              <w:spacing w:line="360" w:lineRule="auto"/>
              <w:rPr>
                <w:rFonts w:hAnsi="宋体" w:cs="宋体"/>
                <w:sz w:val="21"/>
                <w:szCs w:val="21"/>
                <w:highlight w:val="none"/>
                <w:lang w:val="zh-CN"/>
              </w:rPr>
            </w:pPr>
            <w:r>
              <w:rPr>
                <w:rFonts w:hint="eastAsia" w:hAnsi="宋体" w:cs="宋体"/>
                <w:sz w:val="21"/>
                <w:szCs w:val="21"/>
                <w:highlight w:val="none"/>
              </w:rPr>
              <w:t>报价唯一</w:t>
            </w:r>
          </w:p>
        </w:tc>
        <w:tc>
          <w:tcPr>
            <w:tcW w:w="5409" w:type="dxa"/>
            <w:vAlign w:val="center"/>
          </w:tcPr>
          <w:p>
            <w:pPr>
              <w:spacing w:line="360" w:lineRule="auto"/>
              <w:rPr>
                <w:rFonts w:hAnsi="宋体" w:cs="宋体"/>
                <w:sz w:val="21"/>
                <w:szCs w:val="21"/>
                <w:highlight w:val="none"/>
              </w:rPr>
            </w:pPr>
            <w:r>
              <w:rPr>
                <w:rFonts w:hint="eastAsia" w:hAnsi="宋体" w:cs="宋体"/>
                <w:sz w:val="21"/>
                <w:szCs w:val="21"/>
                <w:highlight w:val="none"/>
                <w:lang w:val="zh-CN"/>
              </w:rPr>
              <w:t>只能在预算金额和最高限价内报价，</w:t>
            </w:r>
            <w:r>
              <w:rPr>
                <w:rFonts w:hint="eastAsia" w:hAnsi="宋体" w:cs="宋体"/>
                <w:sz w:val="21"/>
                <w:szCs w:val="21"/>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80" w:type="dxa"/>
            <w:vAlign w:val="center"/>
          </w:tcPr>
          <w:p>
            <w:pPr>
              <w:spacing w:line="360" w:lineRule="auto"/>
              <w:jc w:val="center"/>
              <w:rPr>
                <w:rFonts w:hAnsi="宋体" w:cs="宋体"/>
                <w:sz w:val="21"/>
                <w:szCs w:val="21"/>
                <w:highlight w:val="none"/>
              </w:rPr>
            </w:pPr>
            <w:r>
              <w:rPr>
                <w:rFonts w:hint="eastAsia" w:hAnsi="宋体" w:cs="宋体"/>
                <w:sz w:val="21"/>
                <w:szCs w:val="21"/>
                <w:highlight w:val="none"/>
              </w:rPr>
              <w:t>2</w:t>
            </w:r>
          </w:p>
        </w:tc>
        <w:tc>
          <w:tcPr>
            <w:tcW w:w="1457" w:type="dxa"/>
            <w:vAlign w:val="center"/>
          </w:tcPr>
          <w:p>
            <w:pPr>
              <w:spacing w:line="360" w:lineRule="auto"/>
              <w:rPr>
                <w:rFonts w:hAnsi="宋体" w:cs="宋体"/>
                <w:sz w:val="21"/>
                <w:szCs w:val="21"/>
                <w:highlight w:val="none"/>
              </w:rPr>
            </w:pPr>
            <w:r>
              <w:rPr>
                <w:rFonts w:hint="eastAsia" w:hAnsi="宋体" w:cs="宋体"/>
                <w:sz w:val="21"/>
                <w:szCs w:val="21"/>
                <w:highlight w:val="none"/>
              </w:rPr>
              <w:t>完整性审查</w:t>
            </w:r>
          </w:p>
        </w:tc>
        <w:tc>
          <w:tcPr>
            <w:tcW w:w="1984" w:type="dxa"/>
            <w:vAlign w:val="center"/>
          </w:tcPr>
          <w:p>
            <w:pPr>
              <w:spacing w:line="360" w:lineRule="auto"/>
              <w:rPr>
                <w:rFonts w:hAnsi="宋体" w:cs="宋体"/>
                <w:sz w:val="21"/>
                <w:szCs w:val="21"/>
                <w:highlight w:val="none"/>
              </w:rPr>
            </w:pPr>
            <w:r>
              <w:rPr>
                <w:rFonts w:hint="eastAsia" w:hAnsi="宋体" w:cs="宋体"/>
                <w:sz w:val="21"/>
                <w:szCs w:val="21"/>
                <w:highlight w:val="none"/>
                <w:lang w:val="zh-CN"/>
              </w:rPr>
              <w:t>响应文件份数</w:t>
            </w:r>
          </w:p>
        </w:tc>
        <w:tc>
          <w:tcPr>
            <w:tcW w:w="5409" w:type="dxa"/>
            <w:vAlign w:val="center"/>
          </w:tcPr>
          <w:p>
            <w:pPr>
              <w:spacing w:line="360" w:lineRule="auto"/>
              <w:rPr>
                <w:rFonts w:hAnsi="宋体" w:cs="宋体"/>
                <w:sz w:val="21"/>
                <w:szCs w:val="21"/>
                <w:highlight w:val="none"/>
              </w:rPr>
            </w:pPr>
            <w:r>
              <w:rPr>
                <w:rFonts w:hint="eastAsia" w:hAnsi="宋体" w:cs="宋体"/>
                <w:sz w:val="21"/>
                <w:szCs w:val="21"/>
                <w:highlight w:val="none"/>
                <w:lang w:val="zh-CN"/>
              </w:rPr>
              <w:t>响应文件正、副本数量符合竞争性比选文件要求。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sz w:val="21"/>
                <w:szCs w:val="21"/>
                <w:highlight w:val="none"/>
              </w:rPr>
            </w:pPr>
            <w:r>
              <w:rPr>
                <w:rFonts w:hint="eastAsia" w:hAnsi="宋体" w:cs="宋体"/>
                <w:sz w:val="21"/>
                <w:szCs w:val="21"/>
                <w:highlight w:val="none"/>
              </w:rPr>
              <w:t>3</w:t>
            </w:r>
          </w:p>
        </w:tc>
        <w:tc>
          <w:tcPr>
            <w:tcW w:w="1457" w:type="dxa"/>
            <w:vAlign w:val="center"/>
          </w:tcPr>
          <w:p>
            <w:pPr>
              <w:spacing w:line="360" w:lineRule="auto"/>
              <w:rPr>
                <w:rFonts w:hAnsi="宋体" w:cs="宋体"/>
                <w:sz w:val="21"/>
                <w:szCs w:val="21"/>
                <w:highlight w:val="none"/>
              </w:rPr>
            </w:pPr>
            <w:r>
              <w:rPr>
                <w:rFonts w:hint="eastAsia" w:hAnsi="宋体" w:cs="宋体"/>
                <w:sz w:val="21"/>
                <w:szCs w:val="21"/>
                <w:highlight w:val="none"/>
              </w:rPr>
              <w:t>投标有效期</w:t>
            </w:r>
          </w:p>
        </w:tc>
        <w:tc>
          <w:tcPr>
            <w:tcW w:w="1984" w:type="dxa"/>
            <w:vAlign w:val="center"/>
          </w:tcPr>
          <w:p>
            <w:pPr>
              <w:spacing w:line="360" w:lineRule="auto"/>
              <w:rPr>
                <w:rFonts w:hAnsi="宋体" w:cs="宋体"/>
                <w:sz w:val="21"/>
                <w:szCs w:val="21"/>
                <w:highlight w:val="none"/>
              </w:rPr>
            </w:pPr>
            <w:r>
              <w:rPr>
                <w:rFonts w:hint="eastAsia" w:hAnsi="宋体" w:cs="宋体"/>
                <w:sz w:val="21"/>
                <w:szCs w:val="21"/>
                <w:highlight w:val="none"/>
                <w:lang w:eastAsia="zh-CN"/>
              </w:rPr>
              <w:t>响应文件</w:t>
            </w:r>
            <w:r>
              <w:rPr>
                <w:rFonts w:hint="eastAsia" w:hAnsi="宋体" w:cs="宋体"/>
                <w:sz w:val="21"/>
                <w:szCs w:val="21"/>
                <w:highlight w:val="none"/>
              </w:rPr>
              <w:t>内容</w:t>
            </w:r>
          </w:p>
        </w:tc>
        <w:tc>
          <w:tcPr>
            <w:tcW w:w="5409" w:type="dxa"/>
            <w:vAlign w:val="center"/>
          </w:tcPr>
          <w:p>
            <w:pPr>
              <w:spacing w:line="360" w:lineRule="auto"/>
              <w:rPr>
                <w:rFonts w:hAnsi="宋体" w:cs="宋体"/>
                <w:sz w:val="21"/>
                <w:szCs w:val="21"/>
                <w:highlight w:val="none"/>
              </w:rPr>
            </w:pPr>
            <w:r>
              <w:rPr>
                <w:rFonts w:hint="eastAsia" w:hAnsi="宋体" w:cs="宋体"/>
                <w:sz w:val="21"/>
                <w:szCs w:val="21"/>
                <w:highlight w:val="none"/>
              </w:rPr>
              <w:t>投标有效期为投标截止日期后九十天内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sz w:val="21"/>
                <w:szCs w:val="21"/>
                <w:highlight w:val="none"/>
              </w:rPr>
            </w:pPr>
            <w:r>
              <w:rPr>
                <w:rFonts w:hint="eastAsia" w:hAnsi="宋体" w:cs="宋体"/>
                <w:sz w:val="21"/>
                <w:szCs w:val="21"/>
                <w:highlight w:val="none"/>
              </w:rPr>
              <w:t>4</w:t>
            </w:r>
          </w:p>
        </w:tc>
        <w:tc>
          <w:tcPr>
            <w:tcW w:w="1457" w:type="dxa"/>
            <w:vAlign w:val="center"/>
          </w:tcPr>
          <w:p>
            <w:pPr>
              <w:spacing w:line="240" w:lineRule="exact"/>
              <w:rPr>
                <w:rFonts w:hAnsi="宋体" w:cs="宋体"/>
                <w:sz w:val="21"/>
                <w:szCs w:val="21"/>
                <w:highlight w:val="none"/>
              </w:rPr>
            </w:pPr>
            <w:r>
              <w:rPr>
                <w:rFonts w:hint="eastAsia" w:hAnsi="宋体" w:cs="宋体"/>
                <w:sz w:val="21"/>
                <w:szCs w:val="21"/>
                <w:highlight w:val="none"/>
              </w:rPr>
              <w:t>技术部分</w:t>
            </w:r>
          </w:p>
        </w:tc>
        <w:tc>
          <w:tcPr>
            <w:tcW w:w="1984" w:type="dxa"/>
            <w:vAlign w:val="center"/>
          </w:tcPr>
          <w:p>
            <w:pPr>
              <w:spacing w:line="240" w:lineRule="exact"/>
              <w:rPr>
                <w:rFonts w:hAnsi="宋体" w:cs="宋体"/>
                <w:sz w:val="21"/>
                <w:szCs w:val="21"/>
                <w:highlight w:val="none"/>
              </w:rPr>
            </w:pPr>
            <w:r>
              <w:rPr>
                <w:rFonts w:hint="eastAsia" w:hAnsi="宋体" w:cs="宋体"/>
                <w:sz w:val="21"/>
                <w:szCs w:val="21"/>
                <w:highlight w:val="none"/>
                <w:lang w:eastAsia="zh-CN"/>
              </w:rPr>
              <w:t>响应文件</w:t>
            </w:r>
            <w:r>
              <w:rPr>
                <w:rFonts w:hint="eastAsia" w:hAnsi="宋体" w:cs="宋体"/>
                <w:sz w:val="21"/>
                <w:szCs w:val="21"/>
                <w:highlight w:val="none"/>
              </w:rPr>
              <w:t>内容</w:t>
            </w:r>
          </w:p>
        </w:tc>
        <w:tc>
          <w:tcPr>
            <w:tcW w:w="5409" w:type="dxa"/>
            <w:vAlign w:val="center"/>
          </w:tcPr>
          <w:p>
            <w:pPr>
              <w:spacing w:line="240" w:lineRule="exact"/>
              <w:rPr>
                <w:rFonts w:hint="eastAsia" w:hAnsi="宋体" w:eastAsia="宋体" w:cs="宋体"/>
                <w:sz w:val="21"/>
                <w:szCs w:val="21"/>
                <w:highlight w:val="none"/>
                <w:lang w:eastAsia="zh-CN"/>
              </w:rPr>
            </w:pPr>
            <w:r>
              <w:rPr>
                <w:rFonts w:hint="eastAsia" w:hAnsi="宋体" w:cs="宋体"/>
                <w:sz w:val="21"/>
                <w:szCs w:val="21"/>
                <w:highlight w:val="none"/>
              </w:rPr>
              <w:t>本</w:t>
            </w:r>
            <w:r>
              <w:rPr>
                <w:rFonts w:hint="eastAsia" w:hAnsi="宋体" w:cs="宋体"/>
                <w:sz w:val="21"/>
                <w:szCs w:val="21"/>
                <w:highlight w:val="none"/>
                <w:lang w:eastAsia="zh-CN"/>
              </w:rPr>
              <w:t>竞争性比选文件</w:t>
            </w:r>
            <w:r>
              <w:rPr>
                <w:rFonts w:hint="eastAsia" w:hAnsi="宋体" w:cs="宋体"/>
                <w:sz w:val="21"/>
                <w:szCs w:val="21"/>
                <w:highlight w:val="none"/>
              </w:rPr>
              <w:t>第二篇中</w:t>
            </w:r>
            <w:r>
              <w:rPr>
                <w:rFonts w:hint="eastAsia" w:hAnsi="宋体" w:cs="宋体"/>
                <w:sz w:val="21"/>
                <w:szCs w:val="21"/>
                <w:highlight w:val="none"/>
                <w:lang w:eastAsia="zh-CN"/>
              </w:rPr>
              <w:t>全部内容响应无负偏离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sz w:val="21"/>
                <w:szCs w:val="21"/>
                <w:highlight w:val="none"/>
              </w:rPr>
            </w:pPr>
            <w:r>
              <w:rPr>
                <w:rFonts w:hint="eastAsia" w:hAnsi="宋体" w:cs="宋体"/>
                <w:sz w:val="21"/>
                <w:szCs w:val="21"/>
                <w:highlight w:val="none"/>
              </w:rPr>
              <w:t>5</w:t>
            </w:r>
          </w:p>
        </w:tc>
        <w:tc>
          <w:tcPr>
            <w:tcW w:w="1457" w:type="dxa"/>
            <w:vAlign w:val="center"/>
          </w:tcPr>
          <w:p>
            <w:pPr>
              <w:spacing w:line="240" w:lineRule="exact"/>
              <w:rPr>
                <w:rFonts w:hAnsi="宋体" w:cs="宋体"/>
                <w:sz w:val="21"/>
                <w:szCs w:val="21"/>
                <w:highlight w:val="none"/>
              </w:rPr>
            </w:pPr>
            <w:r>
              <w:rPr>
                <w:rFonts w:hint="eastAsia" w:hAnsi="宋体" w:cs="宋体"/>
                <w:sz w:val="21"/>
                <w:szCs w:val="21"/>
                <w:highlight w:val="none"/>
              </w:rPr>
              <w:t>商务部分</w:t>
            </w:r>
          </w:p>
        </w:tc>
        <w:tc>
          <w:tcPr>
            <w:tcW w:w="1984" w:type="dxa"/>
            <w:vAlign w:val="center"/>
          </w:tcPr>
          <w:p>
            <w:pPr>
              <w:spacing w:line="240" w:lineRule="exact"/>
              <w:rPr>
                <w:rFonts w:hAnsi="宋体" w:cs="宋体"/>
                <w:sz w:val="21"/>
                <w:szCs w:val="21"/>
                <w:highlight w:val="none"/>
              </w:rPr>
            </w:pPr>
            <w:r>
              <w:rPr>
                <w:rFonts w:hint="eastAsia" w:hAnsi="宋体" w:cs="宋体"/>
                <w:sz w:val="21"/>
                <w:szCs w:val="21"/>
                <w:highlight w:val="none"/>
                <w:lang w:eastAsia="zh-CN"/>
              </w:rPr>
              <w:t>响应文件</w:t>
            </w:r>
            <w:r>
              <w:rPr>
                <w:rFonts w:hint="eastAsia" w:hAnsi="宋体" w:cs="宋体"/>
                <w:sz w:val="21"/>
                <w:szCs w:val="21"/>
                <w:highlight w:val="none"/>
              </w:rPr>
              <w:t>内容</w:t>
            </w:r>
          </w:p>
        </w:tc>
        <w:tc>
          <w:tcPr>
            <w:tcW w:w="5409" w:type="dxa"/>
            <w:vAlign w:val="center"/>
          </w:tcPr>
          <w:p>
            <w:pPr>
              <w:spacing w:line="240" w:lineRule="exact"/>
              <w:rPr>
                <w:rFonts w:hAnsi="宋体" w:cs="宋体"/>
                <w:sz w:val="21"/>
                <w:szCs w:val="21"/>
                <w:highlight w:val="none"/>
              </w:rPr>
            </w:pPr>
            <w:r>
              <w:rPr>
                <w:rFonts w:hint="eastAsia" w:hAnsi="宋体" w:cs="宋体"/>
                <w:sz w:val="21"/>
                <w:szCs w:val="21"/>
                <w:highlight w:val="none"/>
              </w:rPr>
              <w:t>本</w:t>
            </w:r>
            <w:r>
              <w:rPr>
                <w:rFonts w:hint="eastAsia" w:hAnsi="宋体" w:cs="宋体"/>
                <w:sz w:val="21"/>
                <w:szCs w:val="21"/>
                <w:highlight w:val="none"/>
                <w:lang w:eastAsia="zh-CN"/>
              </w:rPr>
              <w:t>竞争性比选文件</w:t>
            </w:r>
            <w:r>
              <w:rPr>
                <w:rFonts w:hint="eastAsia" w:hAnsi="宋体" w:cs="宋体"/>
                <w:sz w:val="21"/>
                <w:szCs w:val="21"/>
                <w:highlight w:val="none"/>
              </w:rPr>
              <w:t>第三篇中</w:t>
            </w:r>
            <w:r>
              <w:rPr>
                <w:rFonts w:hint="eastAsia" w:hAnsi="宋体" w:cs="宋体"/>
                <w:sz w:val="21"/>
                <w:szCs w:val="21"/>
                <w:highlight w:val="none"/>
                <w:lang w:eastAsia="zh-CN"/>
              </w:rPr>
              <w:t>全部内容响应无负偏离</w:t>
            </w:r>
          </w:p>
        </w:tc>
      </w:tr>
    </w:tbl>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（二）澄清有关问题。对</w:t>
      </w:r>
      <w:r>
        <w:rPr>
          <w:rFonts w:hint="eastAsia" w:hAnsi="宋体" w:cs="宋体"/>
          <w:sz w:val="24"/>
          <w:szCs w:val="24"/>
          <w:highlight w:val="none"/>
          <w:lang w:eastAsia="zh-CN"/>
        </w:rPr>
        <w:t>响应文件</w:t>
      </w:r>
      <w:r>
        <w:rPr>
          <w:rFonts w:hint="eastAsia" w:hAnsi="宋体" w:cs="宋体"/>
          <w:sz w:val="24"/>
          <w:szCs w:val="24"/>
          <w:highlight w:val="none"/>
        </w:rPr>
        <w:t>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授权代表签字，其澄清的内容不得超出</w:t>
      </w:r>
      <w:r>
        <w:rPr>
          <w:rFonts w:hint="eastAsia" w:hAnsi="宋体" w:cs="宋体"/>
          <w:sz w:val="24"/>
          <w:szCs w:val="24"/>
          <w:highlight w:val="none"/>
          <w:lang w:eastAsia="zh-CN"/>
        </w:rPr>
        <w:t>响应文件</w:t>
      </w:r>
      <w:r>
        <w:rPr>
          <w:rFonts w:hint="eastAsia" w:hAnsi="宋体" w:cs="宋体"/>
          <w:sz w:val="24"/>
          <w:szCs w:val="24"/>
          <w:highlight w:val="none"/>
        </w:rPr>
        <w:t>的范围或者改变</w:t>
      </w:r>
      <w:r>
        <w:rPr>
          <w:rFonts w:hint="eastAsia" w:hAnsi="宋体" w:cs="宋体"/>
          <w:sz w:val="24"/>
          <w:szCs w:val="24"/>
          <w:highlight w:val="none"/>
          <w:lang w:eastAsia="zh-CN"/>
        </w:rPr>
        <w:t>响应文件</w:t>
      </w:r>
      <w:r>
        <w:rPr>
          <w:rFonts w:hint="eastAsia" w:hAnsi="宋体" w:cs="宋体"/>
          <w:sz w:val="24"/>
          <w:szCs w:val="24"/>
          <w:highlight w:val="none"/>
        </w:rPr>
        <w:t>的实质性内容。</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（三）比较与评价。按</w:t>
      </w:r>
      <w:r>
        <w:rPr>
          <w:rFonts w:hint="eastAsia" w:hAnsi="宋体" w:cs="宋体"/>
          <w:sz w:val="24"/>
          <w:szCs w:val="24"/>
          <w:highlight w:val="none"/>
          <w:lang w:eastAsia="zh-CN"/>
        </w:rPr>
        <w:t>竞争性比选文件</w:t>
      </w:r>
      <w:r>
        <w:rPr>
          <w:rFonts w:hint="eastAsia" w:hAnsi="宋体" w:cs="宋体"/>
          <w:sz w:val="24"/>
          <w:szCs w:val="24"/>
          <w:highlight w:val="none"/>
        </w:rPr>
        <w:t>中规定的评标方法和标准，对资格审查和符合性审查合格的</w:t>
      </w:r>
      <w:r>
        <w:rPr>
          <w:rFonts w:hint="eastAsia" w:hAnsi="宋体" w:cs="宋体"/>
          <w:sz w:val="24"/>
          <w:szCs w:val="24"/>
          <w:highlight w:val="none"/>
          <w:lang w:eastAsia="zh-CN"/>
        </w:rPr>
        <w:t>响应文件</w:t>
      </w:r>
      <w:r>
        <w:rPr>
          <w:rFonts w:hint="eastAsia" w:hAnsi="宋体" w:cs="宋体"/>
          <w:sz w:val="24"/>
          <w:szCs w:val="24"/>
          <w:highlight w:val="none"/>
        </w:rPr>
        <w:t>进行商务和技术评估。</w:t>
      </w:r>
    </w:p>
    <w:p>
      <w:pPr>
        <w:snapToGrid w:val="0"/>
        <w:spacing w:line="400" w:lineRule="exact"/>
        <w:ind w:firstLine="480" w:firstLineChars="200"/>
        <w:rPr>
          <w:rFonts w:hAnsi="宋体" w:cs="宋体"/>
          <w:sz w:val="24"/>
          <w:szCs w:val="24"/>
          <w:highlight w:val="none"/>
        </w:rPr>
      </w:pPr>
      <w:r>
        <w:rPr>
          <w:rFonts w:hint="eastAsia" w:hAnsi="宋体" w:cs="宋体"/>
          <w:sz w:val="24"/>
          <w:szCs w:val="24"/>
          <w:highlight w:val="none"/>
        </w:rPr>
        <w:t>评标委员会各成员独立对每个有效投标人（通过资格审查、符合性审查的投标人）的</w:t>
      </w:r>
      <w:r>
        <w:rPr>
          <w:rFonts w:hint="eastAsia" w:hAnsi="宋体" w:cs="宋体"/>
          <w:sz w:val="24"/>
          <w:szCs w:val="24"/>
          <w:highlight w:val="none"/>
          <w:lang w:eastAsia="zh-CN"/>
        </w:rPr>
        <w:t>响应文件</w:t>
      </w:r>
      <w:r>
        <w:rPr>
          <w:rFonts w:hint="eastAsia" w:hAnsi="宋体" w:cs="宋体"/>
          <w:sz w:val="24"/>
          <w:szCs w:val="24"/>
          <w:highlight w:val="none"/>
        </w:rPr>
        <w:t>进行评价、打分，然后由评标委员会对各成员打分情况进行核查及复核，个别成员对同一投标人同一评分项的打分偏离较大的，应对投标人的</w:t>
      </w:r>
      <w:r>
        <w:rPr>
          <w:rFonts w:hint="eastAsia" w:hAnsi="宋体" w:cs="宋体"/>
          <w:sz w:val="24"/>
          <w:szCs w:val="24"/>
          <w:highlight w:val="none"/>
          <w:lang w:eastAsia="zh-CN"/>
        </w:rPr>
        <w:t>响应文件</w:t>
      </w:r>
      <w:r>
        <w:rPr>
          <w:rFonts w:hint="eastAsia" w:hAnsi="宋体" w:cs="宋体"/>
          <w:sz w:val="24"/>
          <w:szCs w:val="24"/>
          <w:highlight w:val="none"/>
        </w:rPr>
        <w:t>进行再次核对，确属打分有误的，应及时进行修正。</w:t>
      </w:r>
    </w:p>
    <w:p>
      <w:pPr>
        <w:snapToGrid w:val="0"/>
        <w:spacing w:line="400" w:lineRule="exact"/>
        <w:ind w:firstLine="480" w:firstLineChars="200"/>
        <w:rPr>
          <w:rFonts w:hAnsi="宋体" w:cs="宋体"/>
          <w:sz w:val="24"/>
          <w:szCs w:val="24"/>
          <w:highlight w:val="none"/>
        </w:rPr>
      </w:pPr>
      <w:r>
        <w:rPr>
          <w:rFonts w:hint="eastAsia" w:hAnsi="宋体" w:cs="宋体"/>
          <w:sz w:val="24"/>
          <w:szCs w:val="24"/>
          <w:highlight w:val="none"/>
        </w:rPr>
        <w:t>复核后，评标委员会汇总每个投标人每项评分因素的得分。</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（四）推荐中标候选人名单。</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按</w:t>
      </w:r>
      <w:r>
        <w:rPr>
          <w:rFonts w:hint="eastAsia" w:hAnsi="宋体" w:cs="宋体"/>
          <w:sz w:val="24"/>
          <w:szCs w:val="24"/>
          <w:highlight w:val="none"/>
        </w:rPr>
        <w:t>评审后得分由高到低</w:t>
      </w:r>
      <w:r>
        <w:rPr>
          <w:rFonts w:hint="eastAsia" w:hAnsi="宋体" w:cs="宋体"/>
          <w:sz w:val="24"/>
          <w:szCs w:val="24"/>
          <w:highlight w:val="none"/>
        </w:rPr>
        <w:t>的排列顺序推荐综合得分排名前三的投标人为本分包（项目）中标候选人，排名第一的为第一中标候选人；得分相同的，按投标报价由低到高顺序排列；得分且投标报价相同的并列，技术部分得分为0分的投标人，将失去成为中标候选人的资格。</w:t>
      </w:r>
    </w:p>
    <w:p>
      <w:pPr>
        <w:pStyle w:val="3"/>
        <w:ind w:firstLine="560" w:firstLineChars="200"/>
        <w:rPr>
          <w:rFonts w:hint="eastAsia"/>
          <w:highlight w:val="none"/>
        </w:rPr>
      </w:pPr>
      <w:bookmarkStart w:id="56" w:name="_Toc98942893"/>
    </w:p>
    <w:p>
      <w:pPr>
        <w:pStyle w:val="3"/>
        <w:rPr>
          <w:color w:val="FF0000"/>
          <w:highlight w:val="none"/>
        </w:rPr>
      </w:pPr>
      <w:r>
        <w:rPr>
          <w:rFonts w:hint="eastAsia"/>
          <w:highlight w:val="none"/>
        </w:rPr>
        <w:t>三、评分标准</w:t>
      </w:r>
      <w:bookmarkEnd w:id="56"/>
    </w:p>
    <w:tbl>
      <w:tblPr>
        <w:tblStyle w:val="12"/>
        <w:tblpPr w:leftFromText="180" w:rightFromText="180" w:vertAnchor="text" w:horzAnchor="page" w:tblpX="898" w:tblpY="666"/>
        <w:tblOverlap w:val="never"/>
        <w:tblW w:w="9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880"/>
        <w:gridCol w:w="1225"/>
        <w:gridCol w:w="641"/>
        <w:gridCol w:w="4008"/>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715" w:type="dxa"/>
            <w:vAlign w:val="center"/>
          </w:tcPr>
          <w:p>
            <w:pPr>
              <w:snapToGrid w:val="0"/>
              <w:spacing w:line="360" w:lineRule="exact"/>
              <w:rPr>
                <w:rFonts w:hint="eastAsia" w:ascii="方正仿宋_GBK" w:hAnsi="宋体" w:eastAsia="方正仿宋_GBK" w:cs="Times New Roman"/>
                <w:b/>
                <w:bCs w:val="0"/>
                <w:color w:val="000000" w:themeColor="text1"/>
                <w:sz w:val="21"/>
                <w:szCs w:val="21"/>
                <w:highlight w:val="none"/>
                <w14:textFill>
                  <w14:solidFill>
                    <w14:schemeClr w14:val="tx1"/>
                  </w14:solidFill>
                </w14:textFill>
              </w:rPr>
            </w:pPr>
            <w:r>
              <w:rPr>
                <w:rFonts w:hint="eastAsia" w:ascii="方正仿宋_GBK" w:hAnsi="宋体" w:eastAsia="方正仿宋_GBK" w:cs="Times New Roman"/>
                <w:b/>
                <w:bCs w:val="0"/>
                <w:color w:val="000000" w:themeColor="text1"/>
                <w:sz w:val="21"/>
                <w:szCs w:val="21"/>
                <w:highlight w:val="none"/>
                <w14:textFill>
                  <w14:solidFill>
                    <w14:schemeClr w14:val="tx1"/>
                  </w14:solidFill>
                </w14:textFill>
              </w:rPr>
              <w:t>序号</w:t>
            </w:r>
          </w:p>
        </w:tc>
        <w:tc>
          <w:tcPr>
            <w:tcW w:w="2105" w:type="dxa"/>
            <w:gridSpan w:val="2"/>
            <w:vAlign w:val="center"/>
          </w:tcPr>
          <w:p>
            <w:pPr>
              <w:snapToGrid w:val="0"/>
              <w:spacing w:line="360" w:lineRule="exact"/>
              <w:rPr>
                <w:rFonts w:hint="eastAsia" w:ascii="方正仿宋_GBK" w:hAnsi="宋体" w:eastAsia="方正仿宋_GBK" w:cs="Times New Roman"/>
                <w:b/>
                <w:bCs w:val="0"/>
                <w:color w:val="000000" w:themeColor="text1"/>
                <w:sz w:val="21"/>
                <w:szCs w:val="21"/>
                <w:highlight w:val="none"/>
                <w14:textFill>
                  <w14:solidFill>
                    <w14:schemeClr w14:val="tx1"/>
                  </w14:solidFill>
                </w14:textFill>
              </w:rPr>
            </w:pPr>
            <w:r>
              <w:rPr>
                <w:rFonts w:hint="eastAsia" w:ascii="方正仿宋_GBK" w:hAnsi="宋体" w:eastAsia="方正仿宋_GBK" w:cs="Times New Roman"/>
                <w:b/>
                <w:bCs w:val="0"/>
                <w:color w:val="000000" w:themeColor="text1"/>
                <w:sz w:val="21"/>
                <w:szCs w:val="21"/>
                <w:highlight w:val="none"/>
                <w14:textFill>
                  <w14:solidFill>
                    <w14:schemeClr w14:val="tx1"/>
                  </w14:solidFill>
                </w14:textFill>
              </w:rPr>
              <w:t>评分因素及权重</w:t>
            </w:r>
          </w:p>
        </w:tc>
        <w:tc>
          <w:tcPr>
            <w:tcW w:w="641" w:type="dxa"/>
            <w:vAlign w:val="center"/>
          </w:tcPr>
          <w:p>
            <w:pPr>
              <w:snapToGrid w:val="0"/>
              <w:spacing w:line="360" w:lineRule="exact"/>
              <w:jc w:val="center"/>
              <w:rPr>
                <w:rFonts w:hint="eastAsia" w:ascii="方正仿宋_GBK" w:hAnsi="宋体" w:eastAsia="方正仿宋_GBK" w:cs="Times New Roman"/>
                <w:b/>
                <w:bCs w:val="0"/>
                <w:color w:val="000000" w:themeColor="text1"/>
                <w:sz w:val="21"/>
                <w:szCs w:val="21"/>
                <w:highlight w:val="none"/>
                <w14:textFill>
                  <w14:solidFill>
                    <w14:schemeClr w14:val="tx1"/>
                  </w14:solidFill>
                </w14:textFill>
              </w:rPr>
            </w:pPr>
            <w:r>
              <w:rPr>
                <w:rFonts w:hint="eastAsia" w:ascii="方正仿宋_GBK" w:hAnsi="宋体" w:eastAsia="方正仿宋_GBK" w:cs="Times New Roman"/>
                <w:b/>
                <w:bCs w:val="0"/>
                <w:color w:val="000000" w:themeColor="text1"/>
                <w:sz w:val="21"/>
                <w:szCs w:val="21"/>
                <w:highlight w:val="none"/>
                <w14:textFill>
                  <w14:solidFill>
                    <w14:schemeClr w14:val="tx1"/>
                  </w14:solidFill>
                </w14:textFill>
              </w:rPr>
              <w:t>分值</w:t>
            </w:r>
          </w:p>
        </w:tc>
        <w:tc>
          <w:tcPr>
            <w:tcW w:w="4008" w:type="dxa"/>
            <w:vAlign w:val="center"/>
          </w:tcPr>
          <w:p>
            <w:pPr>
              <w:snapToGrid w:val="0"/>
              <w:spacing w:line="360" w:lineRule="exact"/>
              <w:ind w:firstLine="420" w:firstLineChars="200"/>
              <w:jc w:val="center"/>
              <w:rPr>
                <w:rFonts w:hint="eastAsia" w:ascii="方正仿宋_GBK" w:hAnsi="宋体" w:eastAsia="方正仿宋_GBK" w:cs="Times New Roman"/>
                <w:b/>
                <w:bCs w:val="0"/>
                <w:color w:val="000000" w:themeColor="text1"/>
                <w:sz w:val="21"/>
                <w:szCs w:val="21"/>
                <w:highlight w:val="none"/>
                <w14:textFill>
                  <w14:solidFill>
                    <w14:schemeClr w14:val="tx1"/>
                  </w14:solidFill>
                </w14:textFill>
              </w:rPr>
            </w:pPr>
            <w:r>
              <w:rPr>
                <w:rFonts w:hint="eastAsia" w:ascii="方正仿宋_GBK" w:hAnsi="宋体" w:eastAsia="方正仿宋_GBK" w:cs="Times New Roman"/>
                <w:b/>
                <w:bCs w:val="0"/>
                <w:color w:val="000000" w:themeColor="text1"/>
                <w:sz w:val="21"/>
                <w:szCs w:val="21"/>
                <w:highlight w:val="none"/>
                <w14:textFill>
                  <w14:solidFill>
                    <w14:schemeClr w14:val="tx1"/>
                  </w14:solidFill>
                </w14:textFill>
              </w:rPr>
              <w:t>评分标准</w:t>
            </w:r>
          </w:p>
        </w:tc>
        <w:tc>
          <w:tcPr>
            <w:tcW w:w="2412" w:type="dxa"/>
            <w:vAlign w:val="center"/>
          </w:tcPr>
          <w:p>
            <w:pPr>
              <w:snapToGrid w:val="0"/>
              <w:spacing w:line="360" w:lineRule="exact"/>
              <w:ind w:firstLine="420" w:firstLineChars="200"/>
              <w:jc w:val="center"/>
              <w:rPr>
                <w:rFonts w:hint="eastAsia" w:ascii="方正仿宋_GBK" w:hAnsi="宋体" w:eastAsia="方正仿宋_GBK" w:cs="Times New Roman"/>
                <w:b/>
                <w:bCs w:val="0"/>
                <w:color w:val="000000" w:themeColor="text1"/>
                <w:sz w:val="21"/>
                <w:szCs w:val="21"/>
                <w:highlight w:val="none"/>
                <w14:textFill>
                  <w14:solidFill>
                    <w14:schemeClr w14:val="tx1"/>
                  </w14:solidFill>
                </w14:textFill>
              </w:rPr>
            </w:pPr>
            <w:r>
              <w:rPr>
                <w:rFonts w:hint="eastAsia" w:ascii="方正仿宋_GBK" w:hAnsi="宋体" w:eastAsia="方正仿宋_GBK" w:cs="Times New Roman"/>
                <w:b/>
                <w:bCs w:val="0"/>
                <w:color w:val="000000" w:themeColor="text1"/>
                <w:sz w:val="21"/>
                <w:szCs w:val="21"/>
                <w:highlight w:val="none"/>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5" w:type="dxa"/>
            <w:vAlign w:val="center"/>
          </w:tcPr>
          <w:p>
            <w:pPr>
              <w:snapToGrid/>
              <w:spacing w:line="320" w:lineRule="exact"/>
              <w:ind w:firstLine="420"/>
              <w:jc w:val="left"/>
              <w:rPr>
                <w:rFonts w:hint="eastAsia" w:ascii="仿宋" w:hAnsi="仿宋" w:eastAsia="仿宋" w:cs="Times New Roman"/>
                <w:color w:val="000000" w:themeColor="text1"/>
                <w:kern w:val="2"/>
                <w:sz w:val="21"/>
                <w:szCs w:val="21"/>
                <w:highlight w:val="none"/>
                <w14:textFill>
                  <w14:solidFill>
                    <w14:schemeClr w14:val="tx1"/>
                  </w14:solidFill>
                </w14:textFill>
              </w:rPr>
            </w:pPr>
            <w:r>
              <w:rPr>
                <w:rFonts w:hint="eastAsia" w:ascii="仿宋" w:hAnsi="仿宋" w:eastAsia="仿宋" w:cs="Times New Roman"/>
                <w:color w:val="000000" w:themeColor="text1"/>
                <w:kern w:val="2"/>
                <w:sz w:val="21"/>
                <w:szCs w:val="21"/>
                <w:highlight w:val="none"/>
                <w14:textFill>
                  <w14:solidFill>
                    <w14:schemeClr w14:val="tx1"/>
                  </w14:solidFill>
                </w14:textFill>
              </w:rPr>
              <w:t>1</w:t>
            </w:r>
          </w:p>
        </w:tc>
        <w:tc>
          <w:tcPr>
            <w:tcW w:w="2105" w:type="dxa"/>
            <w:gridSpan w:val="2"/>
            <w:vAlign w:val="center"/>
          </w:tcPr>
          <w:p>
            <w:pPr>
              <w:snapToGrid/>
              <w:spacing w:line="320" w:lineRule="exact"/>
              <w:ind w:firstLine="420" w:firstLineChars="0"/>
              <w:rPr>
                <w:rFonts w:hint="eastAsia" w:ascii="仿宋" w:hAnsi="仿宋" w:eastAsia="仿宋" w:cs="Times New Roman"/>
                <w:color w:val="000000" w:themeColor="text1"/>
                <w:kern w:val="2"/>
                <w:sz w:val="21"/>
                <w:szCs w:val="21"/>
                <w:highlight w:val="none"/>
                <w14:textFill>
                  <w14:solidFill>
                    <w14:schemeClr w14:val="tx1"/>
                  </w14:solidFill>
                </w14:textFill>
              </w:rPr>
            </w:pPr>
            <w:r>
              <w:rPr>
                <w:rFonts w:hint="eastAsia" w:ascii="仿宋" w:hAnsi="仿宋" w:eastAsia="仿宋" w:cs="Times New Roman"/>
                <w:color w:val="000000" w:themeColor="text1"/>
                <w:kern w:val="2"/>
                <w:sz w:val="21"/>
                <w:szCs w:val="21"/>
                <w:highlight w:val="none"/>
                <w:lang w:val="en-US" w:eastAsia="zh-CN"/>
                <w14:textFill>
                  <w14:solidFill>
                    <w14:schemeClr w14:val="tx1"/>
                  </w14:solidFill>
                </w14:textFill>
              </w:rPr>
              <w:t>投标</w:t>
            </w:r>
            <w:r>
              <w:rPr>
                <w:rFonts w:hint="eastAsia" w:ascii="仿宋" w:hAnsi="仿宋" w:eastAsia="仿宋" w:cs="Times New Roman"/>
                <w:color w:val="000000" w:themeColor="text1"/>
                <w:kern w:val="2"/>
                <w:sz w:val="21"/>
                <w:szCs w:val="21"/>
                <w:highlight w:val="none"/>
                <w14:textFill>
                  <w14:solidFill>
                    <w14:schemeClr w14:val="tx1"/>
                  </w14:solidFill>
                </w14:textFill>
              </w:rPr>
              <w:t>报价（30%）</w:t>
            </w:r>
          </w:p>
        </w:tc>
        <w:tc>
          <w:tcPr>
            <w:tcW w:w="641" w:type="dxa"/>
            <w:vAlign w:val="center"/>
          </w:tcPr>
          <w:p>
            <w:pPr>
              <w:snapToGrid/>
              <w:spacing w:line="320" w:lineRule="exact"/>
              <w:ind w:firstLine="0"/>
              <w:jc w:val="left"/>
              <w:rPr>
                <w:rFonts w:hint="eastAsia" w:ascii="仿宋" w:hAnsi="仿宋" w:eastAsia="仿宋" w:cs="Times New Roman"/>
                <w:color w:val="000000" w:themeColor="text1"/>
                <w:kern w:val="2"/>
                <w:sz w:val="21"/>
                <w:szCs w:val="21"/>
                <w:highlight w:val="none"/>
                <w14:textFill>
                  <w14:solidFill>
                    <w14:schemeClr w14:val="tx1"/>
                  </w14:solidFill>
                </w14:textFill>
              </w:rPr>
            </w:pPr>
            <w:r>
              <w:rPr>
                <w:rFonts w:hint="eastAsia" w:ascii="仿宋" w:hAnsi="仿宋" w:eastAsia="仿宋" w:cs="Times New Roman"/>
                <w:color w:val="000000" w:themeColor="text1"/>
                <w:kern w:val="2"/>
                <w:sz w:val="21"/>
                <w:szCs w:val="21"/>
                <w:highlight w:val="none"/>
                <w14:textFill>
                  <w14:solidFill>
                    <w14:schemeClr w14:val="tx1"/>
                  </w14:solidFill>
                </w14:textFill>
              </w:rPr>
              <w:t>30</w:t>
            </w:r>
          </w:p>
        </w:tc>
        <w:tc>
          <w:tcPr>
            <w:tcW w:w="4008" w:type="dxa"/>
            <w:vAlign w:val="center"/>
          </w:tcPr>
          <w:p>
            <w:pPr>
              <w:snapToGrid/>
              <w:spacing w:line="320" w:lineRule="exact"/>
              <w:ind w:firstLine="420" w:firstLineChars="0"/>
              <w:rPr>
                <w:rFonts w:hint="eastAsia" w:ascii="仿宋" w:hAnsi="仿宋" w:eastAsia="仿宋" w:cs="Times New Roman"/>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1"/>
                <w:szCs w:val="21"/>
                <w:highlight w:val="none"/>
                <w:lang w:val="en-US" w:eastAsia="zh-CN" w:bidi="ar-SA"/>
                <w14:textFill>
                  <w14:solidFill>
                    <w14:schemeClr w14:val="tx1"/>
                  </w14:solidFill>
                </w14:textFill>
              </w:rPr>
              <w:t>满足资格要求且最后投标报价最低的供应商的价格为评标基准价，按照下列公式计算每个供应商的投标报价得分。</w:t>
            </w:r>
          </w:p>
          <w:p>
            <w:pPr>
              <w:snapToGrid/>
              <w:spacing w:line="320" w:lineRule="exact"/>
              <w:ind w:firstLine="420" w:firstLineChars="0"/>
              <w:rPr>
                <w:rFonts w:hint="eastAsia" w:ascii="仿宋" w:hAnsi="仿宋" w:eastAsia="仿宋" w:cs="Times New Roman"/>
                <w:color w:val="000000" w:themeColor="text1"/>
                <w:kern w:val="2"/>
                <w:sz w:val="21"/>
                <w:szCs w:val="21"/>
                <w:highlight w:val="none"/>
                <w14:textFill>
                  <w14:solidFill>
                    <w14:schemeClr w14:val="tx1"/>
                  </w14:solidFill>
                </w14:textFill>
              </w:rPr>
            </w:pPr>
            <w:r>
              <w:rPr>
                <w:rFonts w:hint="eastAsia" w:ascii="仿宋" w:hAnsi="仿宋" w:eastAsia="仿宋" w:cs="Times New Roman"/>
                <w:color w:val="000000" w:themeColor="text1"/>
                <w:kern w:val="2"/>
                <w:sz w:val="21"/>
                <w:szCs w:val="21"/>
                <w:highlight w:val="none"/>
                <w:lang w:val="en-US" w:eastAsia="zh-CN" w:bidi="ar-SA"/>
                <w14:textFill>
                  <w14:solidFill>
                    <w14:schemeClr w14:val="tx1"/>
                  </w14:solidFill>
                </w14:textFill>
              </w:rPr>
              <w:t>投标报价得分=（评标基准价/最后投标报价）×价格权值×100。</w:t>
            </w:r>
          </w:p>
        </w:tc>
        <w:tc>
          <w:tcPr>
            <w:tcW w:w="2412" w:type="dxa"/>
            <w:vAlign w:val="center"/>
          </w:tcPr>
          <w:p>
            <w:pPr>
              <w:snapToGrid/>
              <w:spacing w:line="320" w:lineRule="exact"/>
              <w:ind w:firstLine="420" w:firstLineChars="0"/>
              <w:rPr>
                <w:rFonts w:hint="eastAsia" w:ascii="仿宋" w:hAnsi="仿宋" w:eastAsia="仿宋" w:cs="Times New Roman"/>
                <w:color w:val="000000" w:themeColor="text1"/>
                <w:kern w:val="2"/>
                <w:sz w:val="21"/>
                <w:szCs w:val="21"/>
                <w:highlight w:val="none"/>
                <w14:textFill>
                  <w14:solidFill>
                    <w14:schemeClr w14:val="tx1"/>
                  </w14:solidFill>
                </w14:textFill>
              </w:rPr>
            </w:pPr>
            <w:r>
              <w:rPr>
                <w:rFonts w:hint="eastAsia" w:ascii="仿宋" w:hAnsi="仿宋" w:eastAsia="仿宋" w:cs="Times New Roman"/>
                <w:color w:val="000000" w:themeColor="text1"/>
                <w:kern w:val="2"/>
                <w:sz w:val="21"/>
                <w:szCs w:val="21"/>
                <w:highlight w:val="none"/>
                <w:lang w:val="en-US" w:eastAsia="zh-CN" w:bidi="ar-SA"/>
                <w14:textFill>
                  <w14:solidFill>
                    <w14:schemeClr w14:val="tx1"/>
                  </w14:solidFill>
                </w14:textFill>
              </w:rPr>
              <w:t>得分保留至小数点后两位，第三位四舍五入；投标报价高于最高限价的投标报价视为无效报价。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715" w:type="dxa"/>
            <w:vMerge w:val="restart"/>
            <w:vAlign w:val="center"/>
          </w:tcPr>
          <w:p>
            <w:pPr>
              <w:snapToGrid/>
              <w:spacing w:line="320" w:lineRule="exact"/>
              <w:jc w:val="left"/>
              <w:rPr>
                <w:rFonts w:hint="eastAsia" w:ascii="仿宋" w:hAnsi="仿宋" w:eastAsia="仿宋" w:cs="Times New Roman"/>
                <w:color w:val="000000" w:themeColor="text1"/>
                <w:kern w:val="2"/>
                <w:sz w:val="21"/>
                <w:szCs w:val="21"/>
                <w:highlight w:val="none"/>
                <w14:textFill>
                  <w14:solidFill>
                    <w14:schemeClr w14:val="tx1"/>
                  </w14:solidFill>
                </w14:textFill>
              </w:rPr>
            </w:pPr>
            <w:r>
              <w:rPr>
                <w:rFonts w:hint="eastAsia" w:ascii="仿宋" w:hAnsi="仿宋" w:eastAsia="仿宋" w:cs="Times New Roman"/>
                <w:color w:val="000000" w:themeColor="text1"/>
                <w:kern w:val="2"/>
                <w:sz w:val="21"/>
                <w:szCs w:val="21"/>
                <w:highlight w:val="none"/>
                <w14:textFill>
                  <w14:solidFill>
                    <w14:schemeClr w14:val="tx1"/>
                  </w14:solidFill>
                </w14:textFill>
              </w:rPr>
              <w:t>2</w:t>
            </w:r>
          </w:p>
        </w:tc>
        <w:tc>
          <w:tcPr>
            <w:tcW w:w="880" w:type="dxa"/>
            <w:vMerge w:val="restart"/>
            <w:vAlign w:val="center"/>
          </w:tcPr>
          <w:p>
            <w:pPr>
              <w:snapToGrid/>
              <w:spacing w:line="320" w:lineRule="exact"/>
              <w:ind w:firstLine="0"/>
              <w:jc w:val="left"/>
              <w:rPr>
                <w:rFonts w:hint="eastAsia" w:ascii="仿宋" w:hAnsi="仿宋" w:eastAsia="仿宋" w:cs="Times New Roman"/>
                <w:color w:val="000000" w:themeColor="text1"/>
                <w:kern w:val="2"/>
                <w:sz w:val="21"/>
                <w:szCs w:val="21"/>
                <w:highlight w:val="none"/>
                <w14:textFill>
                  <w14:solidFill>
                    <w14:schemeClr w14:val="tx1"/>
                  </w14:solidFill>
                </w14:textFill>
              </w:rPr>
            </w:pPr>
            <w:r>
              <w:rPr>
                <w:rFonts w:hint="eastAsia" w:ascii="仿宋" w:hAnsi="仿宋" w:eastAsia="仿宋" w:cs="Times New Roman"/>
                <w:color w:val="000000" w:themeColor="text1"/>
                <w:kern w:val="2"/>
                <w:sz w:val="21"/>
                <w:szCs w:val="21"/>
                <w:highlight w:val="none"/>
                <w14:textFill>
                  <w14:solidFill>
                    <w14:schemeClr w14:val="tx1"/>
                  </w14:solidFill>
                </w14:textFill>
              </w:rPr>
              <w:t>服务部分（50%）</w:t>
            </w:r>
          </w:p>
        </w:tc>
        <w:tc>
          <w:tcPr>
            <w:tcW w:w="1225" w:type="dxa"/>
            <w:vMerge w:val="restart"/>
            <w:vAlign w:val="center"/>
          </w:tcPr>
          <w:p>
            <w:pPr>
              <w:snapToGrid/>
              <w:spacing w:line="320" w:lineRule="exact"/>
              <w:jc w:val="left"/>
              <w:rPr>
                <w:rFonts w:hint="eastAsia" w:ascii="仿宋" w:hAnsi="仿宋" w:eastAsia="仿宋" w:cs="Times New Roman"/>
                <w:color w:val="000000" w:themeColor="text1"/>
                <w:kern w:val="2"/>
                <w:sz w:val="21"/>
                <w:szCs w:val="21"/>
                <w:highlight w:val="none"/>
                <w14:textFill>
                  <w14:solidFill>
                    <w14:schemeClr w14:val="tx1"/>
                  </w14:solidFill>
                </w14:textFill>
              </w:rPr>
            </w:pPr>
            <w:r>
              <w:rPr>
                <w:rFonts w:hint="eastAsia" w:ascii="仿宋" w:hAnsi="仿宋" w:eastAsia="仿宋" w:cs="Times New Roman"/>
                <w:color w:val="000000" w:themeColor="text1"/>
                <w:kern w:val="2"/>
                <w:sz w:val="21"/>
                <w:szCs w:val="21"/>
                <w:highlight w:val="none"/>
                <w14:textFill>
                  <w14:solidFill>
                    <w14:schemeClr w14:val="tx1"/>
                  </w14:solidFill>
                </w14:textFill>
              </w:rPr>
              <w:t>保险业务办理（10分）</w:t>
            </w:r>
          </w:p>
        </w:tc>
        <w:tc>
          <w:tcPr>
            <w:tcW w:w="641" w:type="dxa"/>
            <w:vAlign w:val="center"/>
          </w:tcPr>
          <w:p>
            <w:pPr>
              <w:snapToGrid/>
              <w:spacing w:line="320" w:lineRule="exact"/>
              <w:jc w:val="left"/>
              <w:rPr>
                <w:rFonts w:hint="eastAsia" w:ascii="仿宋" w:hAnsi="仿宋" w:eastAsia="仿宋" w:cs="Times New Roman"/>
                <w:color w:val="000000" w:themeColor="text1"/>
                <w:kern w:val="2"/>
                <w:sz w:val="21"/>
                <w:szCs w:val="21"/>
                <w:highlight w:val="none"/>
                <w14:textFill>
                  <w14:solidFill>
                    <w14:schemeClr w14:val="tx1"/>
                  </w14:solidFill>
                </w14:textFill>
              </w:rPr>
            </w:pPr>
            <w:r>
              <w:rPr>
                <w:rFonts w:hint="eastAsia" w:ascii="仿宋" w:hAnsi="仿宋" w:eastAsia="仿宋" w:cs="Times New Roman"/>
                <w:color w:val="000000" w:themeColor="text1"/>
                <w:kern w:val="2"/>
                <w:sz w:val="21"/>
                <w:szCs w:val="21"/>
                <w:highlight w:val="none"/>
                <w14:textFill>
                  <w14:solidFill>
                    <w14:schemeClr w14:val="tx1"/>
                  </w14:solidFill>
                </w14:textFill>
              </w:rPr>
              <w:t>4</w:t>
            </w:r>
          </w:p>
        </w:tc>
        <w:tc>
          <w:tcPr>
            <w:tcW w:w="4008" w:type="dxa"/>
            <w:vAlign w:val="center"/>
          </w:tcPr>
          <w:p>
            <w:pPr>
              <w:snapToGrid/>
              <w:spacing w:line="320" w:lineRule="exact"/>
              <w:ind w:firstLine="420" w:firstLineChars="0"/>
              <w:rPr>
                <w:rFonts w:hint="eastAsia" w:ascii="仿宋" w:hAnsi="仿宋" w:eastAsia="仿宋" w:cs="Times New Roman"/>
                <w:color w:val="000000" w:themeColor="text1"/>
                <w:kern w:val="2"/>
                <w:sz w:val="21"/>
                <w:szCs w:val="21"/>
                <w:highlight w:val="none"/>
                <w14:textFill>
                  <w14:solidFill>
                    <w14:schemeClr w14:val="tx1"/>
                  </w14:solidFill>
                </w14:textFill>
              </w:rPr>
            </w:pPr>
            <w:r>
              <w:rPr>
                <w:rFonts w:hint="eastAsia" w:ascii="仿宋" w:hAnsi="仿宋" w:eastAsia="仿宋" w:cs="Times New Roman"/>
                <w:color w:val="000000" w:themeColor="text1"/>
                <w:kern w:val="2"/>
                <w:sz w:val="21"/>
                <w:szCs w:val="21"/>
                <w:highlight w:val="none"/>
                <w14:textFill>
                  <w14:solidFill>
                    <w14:schemeClr w14:val="tx1"/>
                  </w14:solidFill>
                </w14:textFill>
              </w:rPr>
              <w:t>上门办理签单、收取相关资料和及时送达保单：有专人办理医疗责任险有关承保手续，送达保险资料等，享受承保优先的“畅通”服务的，提供承诺函得4分。</w:t>
            </w:r>
          </w:p>
        </w:tc>
        <w:tc>
          <w:tcPr>
            <w:tcW w:w="2412" w:type="dxa"/>
            <w:vMerge w:val="restart"/>
            <w:vAlign w:val="center"/>
          </w:tcPr>
          <w:p>
            <w:pPr>
              <w:snapToGrid/>
              <w:spacing w:line="320" w:lineRule="exact"/>
              <w:ind w:firstLine="420"/>
              <w:rPr>
                <w:rFonts w:hint="eastAsia" w:ascii="仿宋" w:hAnsi="仿宋" w:eastAsia="仿宋" w:cs="Times New Roman"/>
                <w:color w:val="000000" w:themeColor="text1"/>
                <w:kern w:val="2"/>
                <w:sz w:val="21"/>
                <w:szCs w:val="21"/>
                <w:highlight w:val="none"/>
                <w14:textFill>
                  <w14:solidFill>
                    <w14:schemeClr w14:val="tx1"/>
                  </w14:solidFill>
                </w14:textFill>
              </w:rPr>
            </w:pPr>
            <w:r>
              <w:rPr>
                <w:rFonts w:hint="eastAsia" w:ascii="仿宋" w:hAnsi="仿宋" w:eastAsia="仿宋" w:cs="Times New Roman"/>
                <w:color w:val="000000" w:themeColor="text1"/>
                <w:kern w:val="2"/>
                <w:sz w:val="21"/>
                <w:szCs w:val="21"/>
                <w:highlight w:val="none"/>
                <w14:textFill>
                  <w14:solidFill>
                    <w14:schemeClr w14:val="tx1"/>
                  </w14:solidFill>
                </w14:textFill>
              </w:rPr>
              <w:t>承诺函格式自拟，并加盖供应商公章。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vAlign w:val="center"/>
          </w:tcPr>
          <w:p>
            <w:pPr>
              <w:snapToGrid/>
              <w:spacing w:line="320" w:lineRule="exact"/>
              <w:ind w:firstLine="420" w:firstLineChars="0"/>
              <w:rPr>
                <w:rFonts w:hint="eastAsia" w:ascii="仿宋" w:hAnsi="仿宋" w:eastAsia="仿宋" w:cs="Times New Roman"/>
                <w:color w:val="000000" w:themeColor="text1"/>
                <w:kern w:val="2"/>
                <w:sz w:val="21"/>
                <w:szCs w:val="21"/>
                <w:highlight w:val="none"/>
                <w14:textFill>
                  <w14:solidFill>
                    <w14:schemeClr w14:val="tx1"/>
                  </w14:solidFill>
                </w14:textFill>
              </w:rPr>
            </w:pPr>
          </w:p>
        </w:tc>
        <w:tc>
          <w:tcPr>
            <w:tcW w:w="880" w:type="dxa"/>
            <w:vMerge w:val="continue"/>
            <w:vAlign w:val="center"/>
          </w:tcPr>
          <w:p>
            <w:pPr>
              <w:snapToGrid/>
              <w:spacing w:line="320" w:lineRule="exact"/>
              <w:ind w:firstLine="420" w:firstLineChars="0"/>
              <w:rPr>
                <w:rFonts w:hint="eastAsia" w:ascii="仿宋" w:hAnsi="仿宋" w:eastAsia="仿宋" w:cs="Times New Roman"/>
                <w:color w:val="000000" w:themeColor="text1"/>
                <w:kern w:val="2"/>
                <w:sz w:val="21"/>
                <w:szCs w:val="21"/>
                <w:highlight w:val="none"/>
                <w14:textFill>
                  <w14:solidFill>
                    <w14:schemeClr w14:val="tx1"/>
                  </w14:solidFill>
                </w14:textFill>
              </w:rPr>
            </w:pPr>
          </w:p>
        </w:tc>
        <w:tc>
          <w:tcPr>
            <w:tcW w:w="1225" w:type="dxa"/>
            <w:vMerge w:val="continue"/>
            <w:vAlign w:val="center"/>
          </w:tcPr>
          <w:p>
            <w:pPr>
              <w:snapToGrid/>
              <w:spacing w:line="320" w:lineRule="exact"/>
              <w:ind w:firstLine="420" w:firstLineChars="0"/>
              <w:rPr>
                <w:rFonts w:hint="eastAsia" w:ascii="仿宋" w:hAnsi="仿宋" w:eastAsia="仿宋" w:cs="Times New Roman"/>
                <w:color w:val="000000" w:themeColor="text1"/>
                <w:kern w:val="2"/>
                <w:sz w:val="21"/>
                <w:szCs w:val="21"/>
                <w:highlight w:val="none"/>
                <w14:textFill>
                  <w14:solidFill>
                    <w14:schemeClr w14:val="tx1"/>
                  </w14:solidFill>
                </w14:textFill>
              </w:rPr>
            </w:pPr>
          </w:p>
        </w:tc>
        <w:tc>
          <w:tcPr>
            <w:tcW w:w="641" w:type="dxa"/>
            <w:vAlign w:val="center"/>
          </w:tcPr>
          <w:p>
            <w:pPr>
              <w:snapToGrid/>
              <w:spacing w:line="320" w:lineRule="exact"/>
              <w:jc w:val="left"/>
              <w:rPr>
                <w:rFonts w:hint="eastAsia" w:ascii="仿宋" w:hAnsi="仿宋" w:eastAsia="仿宋" w:cs="Times New Roman"/>
                <w:color w:val="000000" w:themeColor="text1"/>
                <w:kern w:val="2"/>
                <w:sz w:val="21"/>
                <w:szCs w:val="21"/>
                <w:highlight w:val="none"/>
                <w14:textFill>
                  <w14:solidFill>
                    <w14:schemeClr w14:val="tx1"/>
                  </w14:solidFill>
                </w14:textFill>
              </w:rPr>
            </w:pPr>
            <w:r>
              <w:rPr>
                <w:rFonts w:hint="eastAsia" w:ascii="仿宋" w:hAnsi="仿宋" w:eastAsia="仿宋" w:cs="Times New Roman"/>
                <w:color w:val="000000" w:themeColor="text1"/>
                <w:kern w:val="2"/>
                <w:sz w:val="21"/>
                <w:szCs w:val="21"/>
                <w:highlight w:val="none"/>
                <w14:textFill>
                  <w14:solidFill>
                    <w14:schemeClr w14:val="tx1"/>
                  </w14:solidFill>
                </w14:textFill>
              </w:rPr>
              <w:t>3</w:t>
            </w:r>
          </w:p>
        </w:tc>
        <w:tc>
          <w:tcPr>
            <w:tcW w:w="4008" w:type="dxa"/>
          </w:tcPr>
          <w:p>
            <w:pPr>
              <w:snapToGrid/>
              <w:spacing w:line="320" w:lineRule="exact"/>
              <w:ind w:firstLine="420" w:firstLineChars="0"/>
              <w:rPr>
                <w:rFonts w:hint="eastAsia" w:ascii="仿宋" w:hAnsi="仿宋" w:eastAsia="仿宋" w:cs="Times New Roman"/>
                <w:color w:val="000000" w:themeColor="text1"/>
                <w:kern w:val="2"/>
                <w:sz w:val="21"/>
                <w:szCs w:val="21"/>
                <w:highlight w:val="none"/>
                <w14:textFill>
                  <w14:solidFill>
                    <w14:schemeClr w14:val="tx1"/>
                  </w14:solidFill>
                </w14:textFill>
              </w:rPr>
            </w:pPr>
            <w:r>
              <w:rPr>
                <w:rFonts w:hint="eastAsia" w:ascii="仿宋" w:hAnsi="仿宋" w:eastAsia="仿宋" w:cs="Times New Roman"/>
                <w:color w:val="000000" w:themeColor="text1"/>
                <w:kern w:val="2"/>
                <w:sz w:val="21"/>
                <w:szCs w:val="21"/>
                <w:highlight w:val="none"/>
                <w14:textFill>
                  <w14:solidFill>
                    <w14:schemeClr w14:val="tx1"/>
                  </w14:solidFill>
                </w14:textFill>
              </w:rPr>
              <w:t>保单、变更办理时限：新增医疗机构在收到通知后三个工作日内办理承保手续，提供承诺函得3分。</w:t>
            </w:r>
          </w:p>
        </w:tc>
        <w:tc>
          <w:tcPr>
            <w:tcW w:w="2412" w:type="dxa"/>
            <w:vMerge w:val="continue"/>
            <w:vAlign w:val="center"/>
          </w:tcPr>
          <w:p>
            <w:pPr>
              <w:snapToGrid/>
              <w:spacing w:line="320" w:lineRule="exact"/>
              <w:ind w:firstLine="420" w:firstLineChars="0"/>
              <w:rPr>
                <w:rFonts w:hint="eastAsia" w:ascii="仿宋" w:hAnsi="仿宋" w:eastAsia="仿宋" w:cs="Times New Roman"/>
                <w:color w:val="000000" w:themeColor="text1"/>
                <w:kern w:val="2"/>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vAlign w:val="center"/>
          </w:tcPr>
          <w:p>
            <w:pPr>
              <w:snapToGrid/>
              <w:spacing w:line="320" w:lineRule="exact"/>
              <w:ind w:firstLine="420" w:firstLineChars="0"/>
              <w:rPr>
                <w:rFonts w:hint="eastAsia" w:ascii="仿宋" w:hAnsi="仿宋" w:eastAsia="仿宋" w:cs="Times New Roman"/>
                <w:color w:val="000000" w:themeColor="text1"/>
                <w:kern w:val="2"/>
                <w:sz w:val="21"/>
                <w:szCs w:val="21"/>
                <w:highlight w:val="none"/>
                <w14:textFill>
                  <w14:solidFill>
                    <w14:schemeClr w14:val="tx1"/>
                  </w14:solidFill>
                </w14:textFill>
              </w:rPr>
            </w:pPr>
          </w:p>
        </w:tc>
        <w:tc>
          <w:tcPr>
            <w:tcW w:w="880" w:type="dxa"/>
            <w:vMerge w:val="continue"/>
            <w:vAlign w:val="center"/>
          </w:tcPr>
          <w:p>
            <w:pPr>
              <w:snapToGrid/>
              <w:spacing w:line="320" w:lineRule="exact"/>
              <w:ind w:firstLine="420" w:firstLineChars="0"/>
              <w:rPr>
                <w:rFonts w:hint="eastAsia" w:ascii="仿宋" w:hAnsi="仿宋" w:eastAsia="仿宋" w:cs="Times New Roman"/>
                <w:color w:val="000000" w:themeColor="text1"/>
                <w:kern w:val="2"/>
                <w:sz w:val="21"/>
                <w:szCs w:val="21"/>
                <w:highlight w:val="none"/>
                <w14:textFill>
                  <w14:solidFill>
                    <w14:schemeClr w14:val="tx1"/>
                  </w14:solidFill>
                </w14:textFill>
              </w:rPr>
            </w:pPr>
          </w:p>
        </w:tc>
        <w:tc>
          <w:tcPr>
            <w:tcW w:w="1225" w:type="dxa"/>
            <w:vMerge w:val="continue"/>
            <w:vAlign w:val="center"/>
          </w:tcPr>
          <w:p>
            <w:pPr>
              <w:snapToGrid/>
              <w:spacing w:line="320" w:lineRule="exact"/>
              <w:ind w:firstLine="420" w:firstLineChars="0"/>
              <w:rPr>
                <w:rFonts w:hint="eastAsia" w:ascii="仿宋" w:hAnsi="仿宋" w:eastAsia="仿宋" w:cs="Times New Roman"/>
                <w:color w:val="000000" w:themeColor="text1"/>
                <w:kern w:val="2"/>
                <w:sz w:val="21"/>
                <w:szCs w:val="21"/>
                <w:highlight w:val="none"/>
                <w14:textFill>
                  <w14:solidFill>
                    <w14:schemeClr w14:val="tx1"/>
                  </w14:solidFill>
                </w14:textFill>
              </w:rPr>
            </w:pPr>
          </w:p>
        </w:tc>
        <w:tc>
          <w:tcPr>
            <w:tcW w:w="641" w:type="dxa"/>
            <w:vAlign w:val="center"/>
          </w:tcPr>
          <w:p>
            <w:pPr>
              <w:snapToGrid/>
              <w:spacing w:line="320" w:lineRule="exact"/>
              <w:jc w:val="left"/>
              <w:rPr>
                <w:rFonts w:hint="eastAsia" w:ascii="仿宋" w:hAnsi="仿宋" w:eastAsia="仿宋" w:cs="Times New Roman"/>
                <w:color w:val="000000" w:themeColor="text1"/>
                <w:kern w:val="2"/>
                <w:sz w:val="21"/>
                <w:szCs w:val="21"/>
                <w:highlight w:val="none"/>
                <w14:textFill>
                  <w14:solidFill>
                    <w14:schemeClr w14:val="tx1"/>
                  </w14:solidFill>
                </w14:textFill>
              </w:rPr>
            </w:pPr>
            <w:r>
              <w:rPr>
                <w:rFonts w:hint="eastAsia" w:ascii="仿宋" w:hAnsi="仿宋" w:eastAsia="仿宋" w:cs="Times New Roman"/>
                <w:color w:val="000000" w:themeColor="text1"/>
                <w:kern w:val="2"/>
                <w:sz w:val="21"/>
                <w:szCs w:val="21"/>
                <w:highlight w:val="none"/>
                <w14:textFill>
                  <w14:solidFill>
                    <w14:schemeClr w14:val="tx1"/>
                  </w14:solidFill>
                </w14:textFill>
              </w:rPr>
              <w:t>3</w:t>
            </w:r>
          </w:p>
        </w:tc>
        <w:tc>
          <w:tcPr>
            <w:tcW w:w="4008" w:type="dxa"/>
            <w:vAlign w:val="center"/>
          </w:tcPr>
          <w:p>
            <w:pPr>
              <w:snapToGrid/>
              <w:spacing w:line="320" w:lineRule="exact"/>
              <w:ind w:firstLine="420" w:firstLineChars="0"/>
              <w:rPr>
                <w:rFonts w:hint="eastAsia" w:ascii="仿宋" w:hAnsi="仿宋" w:eastAsia="仿宋" w:cs="Times New Roman"/>
                <w:color w:val="000000" w:themeColor="text1"/>
                <w:kern w:val="2"/>
                <w:sz w:val="21"/>
                <w:szCs w:val="21"/>
                <w:highlight w:val="none"/>
                <w14:textFill>
                  <w14:solidFill>
                    <w14:schemeClr w14:val="tx1"/>
                  </w14:solidFill>
                </w14:textFill>
              </w:rPr>
            </w:pPr>
            <w:r>
              <w:rPr>
                <w:rFonts w:hint="eastAsia" w:ascii="仿宋" w:hAnsi="仿宋" w:eastAsia="仿宋" w:cs="Times New Roman"/>
                <w:color w:val="000000" w:themeColor="text1"/>
                <w:kern w:val="2"/>
                <w:sz w:val="21"/>
                <w:szCs w:val="21"/>
                <w:highlight w:val="none"/>
                <w14:textFill>
                  <w14:solidFill>
                    <w14:schemeClr w14:val="tx1"/>
                  </w14:solidFill>
                </w14:textFill>
              </w:rPr>
              <w:t>保险费的核对和结算：采购人提供医疗责任商业保险保费情况报表，供应商整理保险费发票等资料后报送采购人，提供承诺函得3分。</w:t>
            </w:r>
          </w:p>
        </w:tc>
        <w:tc>
          <w:tcPr>
            <w:tcW w:w="2412" w:type="dxa"/>
            <w:vMerge w:val="continue"/>
            <w:vAlign w:val="center"/>
          </w:tcPr>
          <w:p>
            <w:pPr>
              <w:snapToGrid/>
              <w:spacing w:line="320" w:lineRule="exact"/>
              <w:ind w:firstLine="420" w:firstLineChars="0"/>
              <w:rPr>
                <w:rFonts w:hint="eastAsia" w:ascii="仿宋" w:hAnsi="仿宋" w:eastAsia="仿宋" w:cs="Times New Roman"/>
                <w:color w:val="000000" w:themeColor="text1"/>
                <w:kern w:val="2"/>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715" w:type="dxa"/>
            <w:vMerge w:val="continue"/>
            <w:vAlign w:val="center"/>
          </w:tcPr>
          <w:p>
            <w:pPr>
              <w:snapToGrid/>
              <w:spacing w:line="320" w:lineRule="exact"/>
              <w:ind w:firstLine="420" w:firstLineChars="0"/>
              <w:rPr>
                <w:rFonts w:hint="eastAsia" w:ascii="仿宋" w:hAnsi="仿宋" w:eastAsia="仿宋" w:cs="Times New Roman"/>
                <w:color w:val="000000" w:themeColor="text1"/>
                <w:kern w:val="2"/>
                <w:sz w:val="21"/>
                <w:szCs w:val="21"/>
                <w:highlight w:val="none"/>
                <w14:textFill>
                  <w14:solidFill>
                    <w14:schemeClr w14:val="tx1"/>
                  </w14:solidFill>
                </w14:textFill>
              </w:rPr>
            </w:pPr>
          </w:p>
        </w:tc>
        <w:tc>
          <w:tcPr>
            <w:tcW w:w="880" w:type="dxa"/>
            <w:vMerge w:val="continue"/>
            <w:vAlign w:val="center"/>
          </w:tcPr>
          <w:p>
            <w:pPr>
              <w:snapToGrid/>
              <w:spacing w:line="320" w:lineRule="exact"/>
              <w:ind w:firstLine="420" w:firstLineChars="0"/>
              <w:rPr>
                <w:rFonts w:hint="eastAsia" w:ascii="仿宋" w:hAnsi="仿宋" w:eastAsia="仿宋" w:cs="Times New Roman"/>
                <w:color w:val="000000" w:themeColor="text1"/>
                <w:kern w:val="2"/>
                <w:sz w:val="21"/>
                <w:szCs w:val="21"/>
                <w:highlight w:val="none"/>
                <w14:textFill>
                  <w14:solidFill>
                    <w14:schemeClr w14:val="tx1"/>
                  </w14:solidFill>
                </w14:textFill>
              </w:rPr>
            </w:pPr>
          </w:p>
        </w:tc>
        <w:tc>
          <w:tcPr>
            <w:tcW w:w="1225" w:type="dxa"/>
            <w:vMerge w:val="restart"/>
            <w:vAlign w:val="center"/>
          </w:tcPr>
          <w:p>
            <w:pPr>
              <w:snapToGrid/>
              <w:spacing w:line="320" w:lineRule="exact"/>
              <w:jc w:val="left"/>
              <w:rPr>
                <w:rFonts w:hint="eastAsia" w:ascii="仿宋" w:hAnsi="仿宋" w:eastAsia="仿宋" w:cs="Times New Roman"/>
                <w:color w:val="000000" w:themeColor="text1"/>
                <w:kern w:val="2"/>
                <w:sz w:val="21"/>
                <w:szCs w:val="21"/>
                <w:highlight w:val="none"/>
                <w14:textFill>
                  <w14:solidFill>
                    <w14:schemeClr w14:val="tx1"/>
                  </w14:solidFill>
                </w14:textFill>
              </w:rPr>
            </w:pPr>
            <w:r>
              <w:rPr>
                <w:rFonts w:hint="eastAsia" w:ascii="仿宋" w:hAnsi="仿宋" w:eastAsia="仿宋" w:cs="Times New Roman"/>
                <w:color w:val="000000" w:themeColor="text1"/>
                <w:kern w:val="2"/>
                <w:sz w:val="21"/>
                <w:szCs w:val="21"/>
                <w:highlight w:val="none"/>
                <w14:textFill>
                  <w14:solidFill>
                    <w14:schemeClr w14:val="tx1"/>
                  </w14:solidFill>
                </w14:textFill>
              </w:rPr>
              <w:t>受理和理赔（20分）</w:t>
            </w:r>
          </w:p>
        </w:tc>
        <w:tc>
          <w:tcPr>
            <w:tcW w:w="641" w:type="dxa"/>
            <w:vAlign w:val="center"/>
          </w:tcPr>
          <w:p>
            <w:pPr>
              <w:snapToGrid/>
              <w:spacing w:line="320" w:lineRule="exact"/>
              <w:jc w:val="left"/>
              <w:rPr>
                <w:rFonts w:hint="eastAsia" w:ascii="仿宋" w:hAnsi="仿宋" w:eastAsia="仿宋" w:cs="Times New Roman"/>
                <w:color w:val="000000" w:themeColor="text1"/>
                <w:kern w:val="2"/>
                <w:sz w:val="21"/>
                <w:szCs w:val="21"/>
                <w:highlight w:val="none"/>
                <w14:textFill>
                  <w14:solidFill>
                    <w14:schemeClr w14:val="tx1"/>
                  </w14:solidFill>
                </w14:textFill>
              </w:rPr>
            </w:pPr>
            <w:r>
              <w:rPr>
                <w:rFonts w:hint="eastAsia" w:ascii="仿宋" w:hAnsi="仿宋" w:eastAsia="仿宋" w:cs="Times New Roman"/>
                <w:color w:val="000000" w:themeColor="text1"/>
                <w:kern w:val="2"/>
                <w:sz w:val="21"/>
                <w:szCs w:val="21"/>
                <w:highlight w:val="none"/>
                <w14:textFill>
                  <w14:solidFill>
                    <w14:schemeClr w14:val="tx1"/>
                  </w14:solidFill>
                </w14:textFill>
              </w:rPr>
              <w:t>2</w:t>
            </w:r>
          </w:p>
        </w:tc>
        <w:tc>
          <w:tcPr>
            <w:tcW w:w="4008" w:type="dxa"/>
            <w:vAlign w:val="center"/>
          </w:tcPr>
          <w:p>
            <w:pPr>
              <w:snapToGrid/>
              <w:spacing w:line="320" w:lineRule="exact"/>
              <w:ind w:firstLine="420" w:firstLineChars="0"/>
              <w:rPr>
                <w:rFonts w:hint="eastAsia" w:ascii="仿宋" w:hAnsi="仿宋" w:eastAsia="仿宋" w:cs="Times New Roman"/>
                <w:color w:val="000000" w:themeColor="text1"/>
                <w:kern w:val="2"/>
                <w:sz w:val="21"/>
                <w:szCs w:val="21"/>
                <w:highlight w:val="none"/>
                <w14:textFill>
                  <w14:solidFill>
                    <w14:schemeClr w14:val="tx1"/>
                  </w14:solidFill>
                </w14:textFill>
              </w:rPr>
            </w:pPr>
            <w:r>
              <w:rPr>
                <w:rFonts w:hint="eastAsia" w:ascii="仿宋" w:hAnsi="仿宋" w:eastAsia="仿宋" w:cs="Times New Roman"/>
                <w:color w:val="000000" w:themeColor="text1"/>
                <w:kern w:val="2"/>
                <w:sz w:val="21"/>
                <w:szCs w:val="21"/>
                <w:highlight w:val="none"/>
                <w14:textFill>
                  <w14:solidFill>
                    <w14:schemeClr w14:val="tx1"/>
                  </w14:solidFill>
                </w14:textFill>
              </w:rPr>
              <w:t>供应商在接到报案通知后应立即响应：出险现场在主城辖区范围内，要求在接到报案通知后的30分钟内到达现场进行查勘，提供承诺函得2分。</w:t>
            </w:r>
          </w:p>
        </w:tc>
        <w:tc>
          <w:tcPr>
            <w:tcW w:w="2412" w:type="dxa"/>
            <w:vMerge w:val="restart"/>
            <w:vAlign w:val="center"/>
          </w:tcPr>
          <w:p>
            <w:pPr>
              <w:snapToGrid/>
              <w:spacing w:line="320" w:lineRule="exact"/>
              <w:ind w:firstLine="420" w:firstLineChars="0"/>
              <w:rPr>
                <w:rFonts w:hint="eastAsia" w:ascii="仿宋" w:hAnsi="仿宋" w:eastAsia="仿宋" w:cs="Times New Roman"/>
                <w:color w:val="000000" w:themeColor="text1"/>
                <w:kern w:val="2"/>
                <w:sz w:val="21"/>
                <w:szCs w:val="21"/>
                <w:highlight w:val="none"/>
                <w14:textFill>
                  <w14:solidFill>
                    <w14:schemeClr w14:val="tx1"/>
                  </w14:solidFill>
                </w14:textFill>
              </w:rPr>
            </w:pPr>
            <w:r>
              <w:rPr>
                <w:rFonts w:hint="eastAsia" w:ascii="仿宋" w:hAnsi="仿宋" w:eastAsia="仿宋" w:cs="Times New Roman"/>
                <w:color w:val="000000" w:themeColor="text1"/>
                <w:kern w:val="2"/>
                <w:sz w:val="21"/>
                <w:szCs w:val="21"/>
                <w:highlight w:val="none"/>
                <w14:textFill>
                  <w14:solidFill>
                    <w14:schemeClr w14:val="tx1"/>
                  </w14:solidFill>
                </w14:textFill>
              </w:rPr>
              <w:t>格式自拟，并加盖供应商公章。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vAlign w:val="center"/>
          </w:tcPr>
          <w:p>
            <w:pPr>
              <w:snapToGrid/>
              <w:spacing w:line="320" w:lineRule="exact"/>
              <w:ind w:firstLine="420" w:firstLineChars="0"/>
              <w:rPr>
                <w:rFonts w:hint="eastAsia" w:ascii="仿宋" w:hAnsi="仿宋" w:eastAsia="仿宋" w:cs="Times New Roman"/>
                <w:color w:val="000000" w:themeColor="text1"/>
                <w:kern w:val="2"/>
                <w:sz w:val="21"/>
                <w:szCs w:val="21"/>
                <w:highlight w:val="none"/>
                <w14:textFill>
                  <w14:solidFill>
                    <w14:schemeClr w14:val="tx1"/>
                  </w14:solidFill>
                </w14:textFill>
              </w:rPr>
            </w:pPr>
          </w:p>
        </w:tc>
        <w:tc>
          <w:tcPr>
            <w:tcW w:w="880" w:type="dxa"/>
            <w:vMerge w:val="continue"/>
            <w:vAlign w:val="center"/>
          </w:tcPr>
          <w:p>
            <w:pPr>
              <w:snapToGrid/>
              <w:spacing w:line="320" w:lineRule="exact"/>
              <w:ind w:firstLine="420" w:firstLineChars="0"/>
              <w:rPr>
                <w:rFonts w:hint="eastAsia" w:ascii="仿宋" w:hAnsi="仿宋" w:eastAsia="仿宋" w:cs="Times New Roman"/>
                <w:color w:val="000000" w:themeColor="text1"/>
                <w:kern w:val="2"/>
                <w:sz w:val="21"/>
                <w:szCs w:val="21"/>
                <w:highlight w:val="none"/>
                <w14:textFill>
                  <w14:solidFill>
                    <w14:schemeClr w14:val="tx1"/>
                  </w14:solidFill>
                </w14:textFill>
              </w:rPr>
            </w:pPr>
          </w:p>
        </w:tc>
        <w:tc>
          <w:tcPr>
            <w:tcW w:w="1225" w:type="dxa"/>
            <w:vMerge w:val="continue"/>
            <w:vAlign w:val="center"/>
          </w:tcPr>
          <w:p>
            <w:pPr>
              <w:snapToGrid/>
              <w:spacing w:line="320" w:lineRule="exact"/>
              <w:ind w:firstLine="420" w:firstLineChars="0"/>
              <w:rPr>
                <w:rFonts w:hint="eastAsia" w:ascii="仿宋" w:hAnsi="仿宋" w:eastAsia="仿宋" w:cs="Times New Roman"/>
                <w:color w:val="000000" w:themeColor="text1"/>
                <w:kern w:val="2"/>
                <w:sz w:val="21"/>
                <w:szCs w:val="21"/>
                <w:highlight w:val="none"/>
                <w14:textFill>
                  <w14:solidFill>
                    <w14:schemeClr w14:val="tx1"/>
                  </w14:solidFill>
                </w14:textFill>
              </w:rPr>
            </w:pPr>
          </w:p>
        </w:tc>
        <w:tc>
          <w:tcPr>
            <w:tcW w:w="641" w:type="dxa"/>
            <w:vAlign w:val="center"/>
          </w:tcPr>
          <w:p>
            <w:pPr>
              <w:snapToGrid/>
              <w:spacing w:line="320" w:lineRule="exact"/>
              <w:jc w:val="left"/>
              <w:rPr>
                <w:rFonts w:hint="eastAsia" w:ascii="仿宋" w:hAnsi="仿宋" w:eastAsia="仿宋" w:cs="Times New Roman"/>
                <w:color w:val="000000" w:themeColor="text1"/>
                <w:kern w:val="2"/>
                <w:sz w:val="21"/>
                <w:szCs w:val="21"/>
                <w:highlight w:val="none"/>
                <w14:textFill>
                  <w14:solidFill>
                    <w14:schemeClr w14:val="tx1"/>
                  </w14:solidFill>
                </w14:textFill>
              </w:rPr>
            </w:pPr>
            <w:r>
              <w:rPr>
                <w:rFonts w:hint="eastAsia" w:ascii="仿宋" w:hAnsi="仿宋" w:eastAsia="仿宋" w:cs="Times New Roman"/>
                <w:color w:val="000000" w:themeColor="text1"/>
                <w:kern w:val="2"/>
                <w:sz w:val="21"/>
                <w:szCs w:val="21"/>
                <w:highlight w:val="none"/>
                <w14:textFill>
                  <w14:solidFill>
                    <w14:schemeClr w14:val="tx1"/>
                  </w14:solidFill>
                </w14:textFill>
              </w:rPr>
              <w:t>3</w:t>
            </w:r>
          </w:p>
        </w:tc>
        <w:tc>
          <w:tcPr>
            <w:tcW w:w="4008" w:type="dxa"/>
            <w:vAlign w:val="center"/>
          </w:tcPr>
          <w:p>
            <w:pPr>
              <w:snapToGrid/>
              <w:spacing w:line="320" w:lineRule="exact"/>
              <w:ind w:firstLine="420" w:firstLineChars="0"/>
              <w:rPr>
                <w:rFonts w:hint="eastAsia" w:ascii="仿宋" w:hAnsi="仿宋" w:eastAsia="仿宋" w:cs="Times New Roman"/>
                <w:color w:val="000000" w:themeColor="text1"/>
                <w:kern w:val="2"/>
                <w:sz w:val="21"/>
                <w:szCs w:val="21"/>
                <w:highlight w:val="none"/>
                <w14:textFill>
                  <w14:solidFill>
                    <w14:schemeClr w14:val="tx1"/>
                  </w14:solidFill>
                </w14:textFill>
              </w:rPr>
            </w:pPr>
            <w:r>
              <w:rPr>
                <w:rFonts w:hint="eastAsia" w:ascii="仿宋" w:hAnsi="仿宋" w:eastAsia="仿宋" w:cs="Times New Roman"/>
                <w:color w:val="000000" w:themeColor="text1"/>
                <w:kern w:val="2"/>
                <w:sz w:val="21"/>
                <w:szCs w:val="21"/>
                <w:highlight w:val="none"/>
                <w14:textFill>
                  <w14:solidFill>
                    <w14:schemeClr w14:val="tx1"/>
                  </w14:solidFill>
                </w14:textFill>
              </w:rPr>
              <w:t>出险现场在主城辖区范围以外，供应商或委托的其在当地的保险机构应在1小时内到达现场进行查勘，提供承诺函得3分。</w:t>
            </w:r>
          </w:p>
        </w:tc>
        <w:tc>
          <w:tcPr>
            <w:tcW w:w="2412" w:type="dxa"/>
            <w:vMerge w:val="continue"/>
            <w:vAlign w:val="center"/>
          </w:tcPr>
          <w:p>
            <w:pPr>
              <w:snapToGrid/>
              <w:spacing w:line="320" w:lineRule="exact"/>
              <w:ind w:firstLine="420" w:firstLineChars="0"/>
              <w:rPr>
                <w:rFonts w:hint="eastAsia" w:ascii="仿宋" w:hAnsi="仿宋" w:eastAsia="仿宋" w:cs="Times New Roman"/>
                <w:color w:val="000000" w:themeColor="text1"/>
                <w:kern w:val="2"/>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vAlign w:val="center"/>
          </w:tcPr>
          <w:p>
            <w:pPr>
              <w:snapToGrid/>
              <w:spacing w:line="320" w:lineRule="exact"/>
              <w:ind w:firstLine="420" w:firstLineChars="0"/>
              <w:rPr>
                <w:rFonts w:hint="eastAsia" w:ascii="仿宋" w:hAnsi="仿宋" w:eastAsia="仿宋" w:cs="Times New Roman"/>
                <w:color w:val="000000" w:themeColor="text1"/>
                <w:kern w:val="2"/>
                <w:sz w:val="21"/>
                <w:szCs w:val="21"/>
                <w:highlight w:val="none"/>
                <w14:textFill>
                  <w14:solidFill>
                    <w14:schemeClr w14:val="tx1"/>
                  </w14:solidFill>
                </w14:textFill>
              </w:rPr>
            </w:pPr>
          </w:p>
        </w:tc>
        <w:tc>
          <w:tcPr>
            <w:tcW w:w="880" w:type="dxa"/>
            <w:vMerge w:val="continue"/>
            <w:vAlign w:val="center"/>
          </w:tcPr>
          <w:p>
            <w:pPr>
              <w:snapToGrid/>
              <w:spacing w:line="320" w:lineRule="exact"/>
              <w:ind w:firstLine="420" w:firstLineChars="0"/>
              <w:rPr>
                <w:rFonts w:hint="eastAsia" w:ascii="仿宋" w:hAnsi="仿宋" w:eastAsia="仿宋" w:cs="Times New Roman"/>
                <w:color w:val="000000" w:themeColor="text1"/>
                <w:kern w:val="2"/>
                <w:sz w:val="21"/>
                <w:szCs w:val="21"/>
                <w:highlight w:val="none"/>
                <w14:textFill>
                  <w14:solidFill>
                    <w14:schemeClr w14:val="tx1"/>
                  </w14:solidFill>
                </w14:textFill>
              </w:rPr>
            </w:pPr>
          </w:p>
        </w:tc>
        <w:tc>
          <w:tcPr>
            <w:tcW w:w="1225" w:type="dxa"/>
            <w:vMerge w:val="continue"/>
            <w:vAlign w:val="center"/>
          </w:tcPr>
          <w:p>
            <w:pPr>
              <w:snapToGrid/>
              <w:spacing w:line="320" w:lineRule="exact"/>
              <w:ind w:firstLine="420" w:firstLineChars="0"/>
              <w:rPr>
                <w:rFonts w:hint="eastAsia" w:ascii="仿宋" w:hAnsi="仿宋" w:eastAsia="仿宋" w:cs="Times New Roman"/>
                <w:color w:val="000000" w:themeColor="text1"/>
                <w:kern w:val="2"/>
                <w:sz w:val="21"/>
                <w:szCs w:val="21"/>
                <w:highlight w:val="none"/>
                <w14:textFill>
                  <w14:solidFill>
                    <w14:schemeClr w14:val="tx1"/>
                  </w14:solidFill>
                </w14:textFill>
              </w:rPr>
            </w:pPr>
          </w:p>
        </w:tc>
        <w:tc>
          <w:tcPr>
            <w:tcW w:w="641" w:type="dxa"/>
            <w:vAlign w:val="center"/>
          </w:tcPr>
          <w:p>
            <w:pPr>
              <w:snapToGrid/>
              <w:spacing w:line="320" w:lineRule="exact"/>
              <w:jc w:val="left"/>
              <w:rPr>
                <w:rFonts w:hint="eastAsia" w:ascii="仿宋" w:hAnsi="仿宋" w:eastAsia="仿宋" w:cs="Times New Roman"/>
                <w:color w:val="000000" w:themeColor="text1"/>
                <w:kern w:val="2"/>
                <w:sz w:val="21"/>
                <w:szCs w:val="21"/>
                <w:highlight w:val="none"/>
                <w14:textFill>
                  <w14:solidFill>
                    <w14:schemeClr w14:val="tx1"/>
                  </w14:solidFill>
                </w14:textFill>
              </w:rPr>
            </w:pPr>
            <w:r>
              <w:rPr>
                <w:rFonts w:hint="eastAsia" w:ascii="仿宋" w:hAnsi="仿宋" w:eastAsia="仿宋" w:cs="Times New Roman"/>
                <w:color w:val="000000" w:themeColor="text1"/>
                <w:kern w:val="2"/>
                <w:sz w:val="21"/>
                <w:szCs w:val="21"/>
                <w:highlight w:val="none"/>
                <w14:textFill>
                  <w14:solidFill>
                    <w14:schemeClr w14:val="tx1"/>
                  </w14:solidFill>
                </w14:textFill>
              </w:rPr>
              <w:t>2</w:t>
            </w:r>
          </w:p>
        </w:tc>
        <w:tc>
          <w:tcPr>
            <w:tcW w:w="4008" w:type="dxa"/>
            <w:vAlign w:val="center"/>
          </w:tcPr>
          <w:p>
            <w:pPr>
              <w:snapToGrid/>
              <w:spacing w:line="320" w:lineRule="exact"/>
              <w:ind w:firstLine="420" w:firstLineChars="0"/>
              <w:rPr>
                <w:rFonts w:hint="eastAsia" w:ascii="仿宋" w:hAnsi="仿宋" w:eastAsia="仿宋" w:cs="Times New Roman"/>
                <w:color w:val="000000" w:themeColor="text1"/>
                <w:kern w:val="2"/>
                <w:sz w:val="21"/>
                <w:szCs w:val="21"/>
                <w:highlight w:val="none"/>
                <w14:textFill>
                  <w14:solidFill>
                    <w14:schemeClr w14:val="tx1"/>
                  </w14:solidFill>
                </w14:textFill>
              </w:rPr>
            </w:pPr>
            <w:r>
              <w:rPr>
                <w:rFonts w:hint="eastAsia" w:ascii="仿宋" w:hAnsi="仿宋" w:eastAsia="仿宋" w:cs="Times New Roman"/>
                <w:color w:val="000000" w:themeColor="text1"/>
                <w:kern w:val="2"/>
                <w:sz w:val="21"/>
                <w:szCs w:val="21"/>
                <w:highlight w:val="none"/>
                <w14:textFill>
                  <w14:solidFill>
                    <w14:schemeClr w14:val="tx1"/>
                  </w14:solidFill>
                </w14:textFill>
              </w:rPr>
              <w:t>就地理赔。可在出险当地就地进行查勘、定损、理赔核算、领取赔款等理赔程序，提供承诺函得2分。</w:t>
            </w:r>
          </w:p>
        </w:tc>
        <w:tc>
          <w:tcPr>
            <w:tcW w:w="2412" w:type="dxa"/>
            <w:vMerge w:val="continue"/>
            <w:vAlign w:val="center"/>
          </w:tcPr>
          <w:p>
            <w:pPr>
              <w:snapToGrid/>
              <w:spacing w:line="320" w:lineRule="exact"/>
              <w:ind w:firstLine="420" w:firstLineChars="0"/>
              <w:rPr>
                <w:rFonts w:hint="eastAsia" w:ascii="仿宋" w:hAnsi="仿宋" w:eastAsia="仿宋" w:cs="Times New Roman"/>
                <w:color w:val="000000" w:themeColor="text1"/>
                <w:kern w:val="2"/>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vAlign w:val="center"/>
          </w:tcPr>
          <w:p>
            <w:pPr>
              <w:snapToGrid/>
              <w:spacing w:line="320" w:lineRule="exact"/>
              <w:ind w:firstLine="420" w:firstLineChars="0"/>
              <w:rPr>
                <w:rFonts w:hint="eastAsia" w:ascii="仿宋" w:hAnsi="仿宋" w:eastAsia="仿宋" w:cs="Times New Roman"/>
                <w:color w:val="000000" w:themeColor="text1"/>
                <w:kern w:val="2"/>
                <w:sz w:val="21"/>
                <w:szCs w:val="21"/>
                <w:highlight w:val="none"/>
                <w14:textFill>
                  <w14:solidFill>
                    <w14:schemeClr w14:val="tx1"/>
                  </w14:solidFill>
                </w14:textFill>
              </w:rPr>
            </w:pPr>
          </w:p>
        </w:tc>
        <w:tc>
          <w:tcPr>
            <w:tcW w:w="880" w:type="dxa"/>
            <w:vMerge w:val="continue"/>
            <w:vAlign w:val="center"/>
          </w:tcPr>
          <w:p>
            <w:pPr>
              <w:snapToGrid/>
              <w:spacing w:line="320" w:lineRule="exact"/>
              <w:ind w:firstLine="420" w:firstLineChars="0"/>
              <w:rPr>
                <w:rFonts w:hint="eastAsia" w:ascii="仿宋" w:hAnsi="仿宋" w:eastAsia="仿宋" w:cs="Times New Roman"/>
                <w:color w:val="000000" w:themeColor="text1"/>
                <w:kern w:val="2"/>
                <w:sz w:val="21"/>
                <w:szCs w:val="21"/>
                <w:highlight w:val="none"/>
                <w14:textFill>
                  <w14:solidFill>
                    <w14:schemeClr w14:val="tx1"/>
                  </w14:solidFill>
                </w14:textFill>
              </w:rPr>
            </w:pPr>
          </w:p>
        </w:tc>
        <w:tc>
          <w:tcPr>
            <w:tcW w:w="1225" w:type="dxa"/>
            <w:vMerge w:val="continue"/>
            <w:vAlign w:val="center"/>
          </w:tcPr>
          <w:p>
            <w:pPr>
              <w:snapToGrid/>
              <w:spacing w:line="320" w:lineRule="exact"/>
              <w:ind w:firstLine="420" w:firstLineChars="0"/>
              <w:rPr>
                <w:rFonts w:hint="eastAsia" w:ascii="仿宋" w:hAnsi="仿宋" w:eastAsia="仿宋" w:cs="Times New Roman"/>
                <w:color w:val="000000" w:themeColor="text1"/>
                <w:kern w:val="2"/>
                <w:sz w:val="21"/>
                <w:szCs w:val="21"/>
                <w:highlight w:val="none"/>
                <w14:textFill>
                  <w14:solidFill>
                    <w14:schemeClr w14:val="tx1"/>
                  </w14:solidFill>
                </w14:textFill>
              </w:rPr>
            </w:pPr>
          </w:p>
        </w:tc>
        <w:tc>
          <w:tcPr>
            <w:tcW w:w="641" w:type="dxa"/>
            <w:vAlign w:val="center"/>
          </w:tcPr>
          <w:p>
            <w:pPr>
              <w:snapToGrid/>
              <w:spacing w:line="320" w:lineRule="exact"/>
              <w:jc w:val="left"/>
              <w:rPr>
                <w:rFonts w:hint="eastAsia" w:ascii="仿宋" w:hAnsi="仿宋" w:eastAsia="仿宋" w:cs="Times New Roman"/>
                <w:color w:val="000000" w:themeColor="text1"/>
                <w:kern w:val="2"/>
                <w:sz w:val="21"/>
                <w:szCs w:val="21"/>
                <w:highlight w:val="none"/>
                <w14:textFill>
                  <w14:solidFill>
                    <w14:schemeClr w14:val="tx1"/>
                  </w14:solidFill>
                </w14:textFill>
              </w:rPr>
            </w:pPr>
            <w:r>
              <w:rPr>
                <w:rFonts w:hint="eastAsia" w:ascii="仿宋" w:hAnsi="仿宋" w:eastAsia="仿宋" w:cs="Times New Roman"/>
                <w:color w:val="000000" w:themeColor="text1"/>
                <w:kern w:val="2"/>
                <w:sz w:val="21"/>
                <w:szCs w:val="21"/>
                <w:highlight w:val="none"/>
                <w14:textFill>
                  <w14:solidFill>
                    <w14:schemeClr w14:val="tx1"/>
                  </w14:solidFill>
                </w14:textFill>
              </w:rPr>
              <w:t>5</w:t>
            </w:r>
          </w:p>
        </w:tc>
        <w:tc>
          <w:tcPr>
            <w:tcW w:w="4008" w:type="dxa"/>
            <w:vAlign w:val="center"/>
          </w:tcPr>
          <w:p>
            <w:pPr>
              <w:snapToGrid/>
              <w:spacing w:line="320" w:lineRule="exact"/>
              <w:ind w:firstLine="420" w:firstLineChars="0"/>
              <w:rPr>
                <w:rFonts w:hint="eastAsia" w:ascii="仿宋" w:hAnsi="仿宋" w:eastAsia="仿宋" w:cs="Times New Roman"/>
                <w:color w:val="000000" w:themeColor="text1"/>
                <w:kern w:val="2"/>
                <w:sz w:val="21"/>
                <w:szCs w:val="21"/>
                <w:highlight w:val="none"/>
                <w14:textFill>
                  <w14:solidFill>
                    <w14:schemeClr w14:val="tx1"/>
                  </w14:solidFill>
                </w14:textFill>
              </w:rPr>
            </w:pPr>
            <w:r>
              <w:rPr>
                <w:rFonts w:hint="eastAsia" w:ascii="仿宋" w:hAnsi="仿宋" w:eastAsia="仿宋" w:cs="Times New Roman"/>
                <w:color w:val="000000" w:themeColor="text1"/>
                <w:kern w:val="2"/>
                <w:sz w:val="21"/>
                <w:szCs w:val="21"/>
                <w:highlight w:val="none"/>
                <w14:textFill>
                  <w14:solidFill>
                    <w14:schemeClr w14:val="tx1"/>
                  </w14:solidFill>
                </w14:textFill>
              </w:rPr>
              <w:t>专人理赔负责制。每个赔案都有专门理赔人员负责，要求在规定时效内完成赔付。赔款时效：1万元及以下赔款，索赔手续齐全，保证1个工作日内赔付；1-5万元（含5万元）赔款，索赔手续齐全，保证3个工作日内赔付；5-10万元（含10万元）赔款，索赔手续齐全，保证7个工作日内赔付；10-20万元（含20万元）赔款，索赔手续齐全，保证15个工作日内赔付。20万元以上赔款，索赔手续齐全，保证30个工作日内赔付。提供承诺函得5分。</w:t>
            </w:r>
          </w:p>
        </w:tc>
        <w:tc>
          <w:tcPr>
            <w:tcW w:w="2412" w:type="dxa"/>
            <w:vAlign w:val="center"/>
          </w:tcPr>
          <w:p>
            <w:pPr>
              <w:snapToGrid/>
              <w:spacing w:line="320" w:lineRule="exact"/>
              <w:ind w:firstLine="420" w:firstLineChars="0"/>
              <w:rPr>
                <w:rFonts w:hint="eastAsia" w:ascii="仿宋" w:hAnsi="仿宋" w:eastAsia="仿宋" w:cs="Times New Roman"/>
                <w:color w:val="000000" w:themeColor="text1"/>
                <w:kern w:val="2"/>
                <w:sz w:val="21"/>
                <w:szCs w:val="21"/>
                <w:highlight w:val="none"/>
                <w14:textFill>
                  <w14:solidFill>
                    <w14:schemeClr w14:val="tx1"/>
                  </w14:solidFill>
                </w14:textFill>
              </w:rPr>
            </w:pPr>
            <w:r>
              <w:rPr>
                <w:rFonts w:hint="eastAsia" w:ascii="仿宋" w:hAnsi="仿宋" w:eastAsia="仿宋" w:cs="Times New Roman"/>
                <w:color w:val="000000" w:themeColor="text1"/>
                <w:kern w:val="2"/>
                <w:sz w:val="21"/>
                <w:szCs w:val="21"/>
                <w:highlight w:val="none"/>
                <w14:textFill>
                  <w14:solidFill>
                    <w14:schemeClr w14:val="tx1"/>
                  </w14:solidFill>
                </w14:textFill>
              </w:rPr>
              <w:t>格式自拟，并加盖供应商公章。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vAlign w:val="center"/>
          </w:tcPr>
          <w:p>
            <w:pPr>
              <w:snapToGrid/>
              <w:spacing w:line="320" w:lineRule="exact"/>
              <w:ind w:firstLine="420" w:firstLineChars="0"/>
              <w:rPr>
                <w:rFonts w:hint="eastAsia" w:ascii="仿宋" w:hAnsi="仿宋" w:eastAsia="仿宋" w:cs="Times New Roman"/>
                <w:color w:val="000000" w:themeColor="text1"/>
                <w:kern w:val="2"/>
                <w:sz w:val="21"/>
                <w:szCs w:val="21"/>
                <w:highlight w:val="none"/>
                <w14:textFill>
                  <w14:solidFill>
                    <w14:schemeClr w14:val="tx1"/>
                  </w14:solidFill>
                </w14:textFill>
              </w:rPr>
            </w:pPr>
          </w:p>
        </w:tc>
        <w:tc>
          <w:tcPr>
            <w:tcW w:w="880" w:type="dxa"/>
            <w:vMerge w:val="continue"/>
            <w:vAlign w:val="center"/>
          </w:tcPr>
          <w:p>
            <w:pPr>
              <w:snapToGrid/>
              <w:spacing w:line="320" w:lineRule="exact"/>
              <w:ind w:firstLine="420" w:firstLineChars="0"/>
              <w:rPr>
                <w:rFonts w:hint="eastAsia" w:ascii="仿宋" w:hAnsi="仿宋" w:eastAsia="仿宋" w:cs="Times New Roman"/>
                <w:color w:val="000000" w:themeColor="text1"/>
                <w:kern w:val="2"/>
                <w:sz w:val="21"/>
                <w:szCs w:val="21"/>
                <w:highlight w:val="none"/>
                <w14:textFill>
                  <w14:solidFill>
                    <w14:schemeClr w14:val="tx1"/>
                  </w14:solidFill>
                </w14:textFill>
              </w:rPr>
            </w:pPr>
          </w:p>
        </w:tc>
        <w:tc>
          <w:tcPr>
            <w:tcW w:w="1225" w:type="dxa"/>
            <w:vMerge w:val="continue"/>
            <w:vAlign w:val="center"/>
          </w:tcPr>
          <w:p>
            <w:pPr>
              <w:snapToGrid/>
              <w:spacing w:line="320" w:lineRule="exact"/>
              <w:ind w:firstLine="420" w:firstLineChars="0"/>
              <w:rPr>
                <w:rFonts w:hint="eastAsia" w:ascii="仿宋" w:hAnsi="仿宋" w:eastAsia="仿宋" w:cs="Times New Roman"/>
                <w:color w:val="000000" w:themeColor="text1"/>
                <w:kern w:val="2"/>
                <w:sz w:val="21"/>
                <w:szCs w:val="21"/>
                <w:highlight w:val="none"/>
                <w14:textFill>
                  <w14:solidFill>
                    <w14:schemeClr w14:val="tx1"/>
                  </w14:solidFill>
                </w14:textFill>
              </w:rPr>
            </w:pPr>
          </w:p>
        </w:tc>
        <w:tc>
          <w:tcPr>
            <w:tcW w:w="641" w:type="dxa"/>
            <w:vAlign w:val="center"/>
          </w:tcPr>
          <w:p>
            <w:pPr>
              <w:snapToGrid/>
              <w:spacing w:line="320" w:lineRule="exact"/>
              <w:jc w:val="left"/>
              <w:rPr>
                <w:rFonts w:hint="eastAsia" w:ascii="仿宋" w:hAnsi="仿宋" w:eastAsia="仿宋" w:cs="Times New Roman"/>
                <w:color w:val="000000" w:themeColor="text1"/>
                <w:kern w:val="2"/>
                <w:sz w:val="21"/>
                <w:szCs w:val="21"/>
                <w:highlight w:val="none"/>
                <w14:textFill>
                  <w14:solidFill>
                    <w14:schemeClr w14:val="tx1"/>
                  </w14:solidFill>
                </w14:textFill>
              </w:rPr>
            </w:pPr>
            <w:r>
              <w:rPr>
                <w:rFonts w:hint="eastAsia" w:ascii="仿宋" w:hAnsi="仿宋" w:eastAsia="仿宋" w:cs="Times New Roman"/>
                <w:color w:val="000000" w:themeColor="text1"/>
                <w:kern w:val="2"/>
                <w:sz w:val="21"/>
                <w:szCs w:val="21"/>
                <w:highlight w:val="none"/>
                <w14:textFill>
                  <w14:solidFill>
                    <w14:schemeClr w14:val="tx1"/>
                  </w14:solidFill>
                </w14:textFill>
              </w:rPr>
              <w:t>4</w:t>
            </w:r>
          </w:p>
        </w:tc>
        <w:tc>
          <w:tcPr>
            <w:tcW w:w="4008" w:type="dxa"/>
            <w:vAlign w:val="center"/>
          </w:tcPr>
          <w:p>
            <w:pPr>
              <w:snapToGrid/>
              <w:spacing w:line="320" w:lineRule="exact"/>
              <w:ind w:firstLine="420" w:firstLineChars="0"/>
              <w:rPr>
                <w:rFonts w:hint="eastAsia" w:ascii="仿宋" w:hAnsi="仿宋" w:eastAsia="仿宋" w:cs="Times New Roman"/>
                <w:color w:val="000000" w:themeColor="text1"/>
                <w:kern w:val="2"/>
                <w:sz w:val="21"/>
                <w:szCs w:val="21"/>
                <w:highlight w:val="none"/>
                <w14:textFill>
                  <w14:solidFill>
                    <w14:schemeClr w14:val="tx1"/>
                  </w14:solidFill>
                </w14:textFill>
              </w:rPr>
            </w:pPr>
            <w:r>
              <w:rPr>
                <w:rFonts w:hint="eastAsia" w:ascii="仿宋" w:hAnsi="仿宋" w:eastAsia="仿宋" w:cs="Times New Roman"/>
                <w:color w:val="000000" w:themeColor="text1"/>
                <w:kern w:val="2"/>
                <w:sz w:val="21"/>
                <w:szCs w:val="21"/>
                <w:highlight w:val="none"/>
                <w14:textFill>
                  <w14:solidFill>
                    <w14:schemeClr w14:val="tx1"/>
                  </w14:solidFill>
                </w14:textFill>
              </w:rPr>
              <w:t>专职人员处理调解员负责制。每个赔案都有专职的人员处理调解员全程协同处理，提供承诺函</w:t>
            </w:r>
            <w:r>
              <w:rPr>
                <w:rFonts w:hint="eastAsia" w:ascii="仿宋" w:hAnsi="仿宋" w:eastAsia="仿宋" w:cs="Times New Roman"/>
                <w:color w:val="000000" w:themeColor="text1"/>
                <w:kern w:val="2"/>
                <w:sz w:val="21"/>
                <w:szCs w:val="21"/>
                <w:highlight w:val="none"/>
                <w:lang w:eastAsia="zh-CN"/>
                <w14:textFill>
                  <w14:solidFill>
                    <w14:schemeClr w14:val="tx1"/>
                  </w14:solidFill>
                </w14:textFill>
              </w:rPr>
              <w:t>及人员名单</w:t>
            </w:r>
            <w:r>
              <w:rPr>
                <w:rFonts w:hint="eastAsia" w:ascii="仿宋" w:hAnsi="仿宋" w:eastAsia="仿宋" w:cs="Times New Roman"/>
                <w:color w:val="000000" w:themeColor="text1"/>
                <w:kern w:val="2"/>
                <w:sz w:val="21"/>
                <w:szCs w:val="21"/>
                <w:highlight w:val="none"/>
                <w14:textFill>
                  <w14:solidFill>
                    <w14:schemeClr w14:val="tx1"/>
                  </w14:solidFill>
                </w14:textFill>
              </w:rPr>
              <w:t>得4分。</w:t>
            </w:r>
          </w:p>
        </w:tc>
        <w:tc>
          <w:tcPr>
            <w:tcW w:w="2412" w:type="dxa"/>
            <w:vAlign w:val="center"/>
          </w:tcPr>
          <w:p>
            <w:pPr>
              <w:snapToGrid/>
              <w:spacing w:line="320" w:lineRule="exact"/>
              <w:ind w:firstLine="420" w:firstLineChars="0"/>
              <w:rPr>
                <w:rFonts w:hint="eastAsia" w:ascii="仿宋" w:hAnsi="仿宋" w:eastAsia="仿宋" w:cs="Times New Roman"/>
                <w:color w:val="000000" w:themeColor="text1"/>
                <w:kern w:val="2"/>
                <w:sz w:val="21"/>
                <w:szCs w:val="21"/>
                <w:highlight w:val="none"/>
                <w14:textFill>
                  <w14:solidFill>
                    <w14:schemeClr w14:val="tx1"/>
                  </w14:solidFill>
                </w14:textFill>
              </w:rPr>
            </w:pPr>
            <w:r>
              <w:rPr>
                <w:rFonts w:hint="eastAsia" w:ascii="仿宋" w:hAnsi="仿宋" w:eastAsia="仿宋" w:cs="Times New Roman"/>
                <w:color w:val="000000" w:themeColor="text1"/>
                <w:kern w:val="2"/>
                <w:sz w:val="21"/>
                <w:szCs w:val="21"/>
                <w:highlight w:val="none"/>
                <w14:textFill>
                  <w14:solidFill>
                    <w14:schemeClr w14:val="tx1"/>
                  </w14:solidFill>
                </w14:textFill>
              </w:rPr>
              <w:t>格式自拟，并加盖供应商公章。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vAlign w:val="center"/>
          </w:tcPr>
          <w:p>
            <w:pPr>
              <w:snapToGrid/>
              <w:spacing w:line="320" w:lineRule="exact"/>
              <w:ind w:firstLine="420" w:firstLineChars="0"/>
              <w:rPr>
                <w:rFonts w:hint="eastAsia" w:ascii="仿宋" w:hAnsi="仿宋" w:eastAsia="仿宋" w:cs="Times New Roman"/>
                <w:color w:val="000000" w:themeColor="text1"/>
                <w:kern w:val="2"/>
                <w:sz w:val="21"/>
                <w:szCs w:val="21"/>
                <w:highlight w:val="none"/>
                <w14:textFill>
                  <w14:solidFill>
                    <w14:schemeClr w14:val="tx1"/>
                  </w14:solidFill>
                </w14:textFill>
              </w:rPr>
            </w:pPr>
          </w:p>
        </w:tc>
        <w:tc>
          <w:tcPr>
            <w:tcW w:w="880" w:type="dxa"/>
            <w:vMerge w:val="continue"/>
            <w:vAlign w:val="center"/>
          </w:tcPr>
          <w:p>
            <w:pPr>
              <w:snapToGrid/>
              <w:spacing w:line="320" w:lineRule="exact"/>
              <w:ind w:firstLine="420" w:firstLineChars="0"/>
              <w:rPr>
                <w:rFonts w:hint="eastAsia" w:ascii="仿宋" w:hAnsi="仿宋" w:eastAsia="仿宋" w:cs="Times New Roman"/>
                <w:color w:val="000000" w:themeColor="text1"/>
                <w:kern w:val="2"/>
                <w:sz w:val="21"/>
                <w:szCs w:val="21"/>
                <w:highlight w:val="none"/>
                <w14:textFill>
                  <w14:solidFill>
                    <w14:schemeClr w14:val="tx1"/>
                  </w14:solidFill>
                </w14:textFill>
              </w:rPr>
            </w:pPr>
          </w:p>
        </w:tc>
        <w:tc>
          <w:tcPr>
            <w:tcW w:w="1225" w:type="dxa"/>
            <w:vMerge w:val="continue"/>
            <w:vAlign w:val="center"/>
          </w:tcPr>
          <w:p>
            <w:pPr>
              <w:snapToGrid/>
              <w:spacing w:line="320" w:lineRule="exact"/>
              <w:ind w:firstLine="420" w:firstLineChars="0"/>
              <w:rPr>
                <w:rFonts w:hint="eastAsia" w:ascii="仿宋" w:hAnsi="仿宋" w:eastAsia="仿宋" w:cs="Times New Roman"/>
                <w:color w:val="000000" w:themeColor="text1"/>
                <w:kern w:val="2"/>
                <w:sz w:val="21"/>
                <w:szCs w:val="21"/>
                <w:highlight w:val="none"/>
                <w14:textFill>
                  <w14:solidFill>
                    <w14:schemeClr w14:val="tx1"/>
                  </w14:solidFill>
                </w14:textFill>
              </w:rPr>
            </w:pPr>
          </w:p>
        </w:tc>
        <w:tc>
          <w:tcPr>
            <w:tcW w:w="641" w:type="dxa"/>
            <w:vAlign w:val="center"/>
          </w:tcPr>
          <w:p>
            <w:pPr>
              <w:snapToGrid/>
              <w:spacing w:line="320" w:lineRule="exact"/>
              <w:jc w:val="left"/>
              <w:rPr>
                <w:rFonts w:hint="eastAsia" w:ascii="仿宋" w:hAnsi="仿宋" w:eastAsia="仿宋" w:cs="Times New Roman"/>
                <w:color w:val="000000" w:themeColor="text1"/>
                <w:kern w:val="2"/>
                <w:sz w:val="21"/>
                <w:szCs w:val="21"/>
                <w:highlight w:val="none"/>
                <w14:textFill>
                  <w14:solidFill>
                    <w14:schemeClr w14:val="tx1"/>
                  </w14:solidFill>
                </w14:textFill>
              </w:rPr>
            </w:pPr>
            <w:r>
              <w:rPr>
                <w:rFonts w:hint="eastAsia" w:ascii="仿宋" w:hAnsi="仿宋" w:eastAsia="仿宋" w:cs="Times New Roman"/>
                <w:color w:val="000000" w:themeColor="text1"/>
                <w:kern w:val="2"/>
                <w:sz w:val="21"/>
                <w:szCs w:val="21"/>
                <w:highlight w:val="none"/>
                <w14:textFill>
                  <w14:solidFill>
                    <w14:schemeClr w14:val="tx1"/>
                  </w14:solidFill>
                </w14:textFill>
              </w:rPr>
              <w:t>4</w:t>
            </w:r>
          </w:p>
        </w:tc>
        <w:tc>
          <w:tcPr>
            <w:tcW w:w="4008" w:type="dxa"/>
            <w:vAlign w:val="center"/>
          </w:tcPr>
          <w:p>
            <w:pPr>
              <w:snapToGrid/>
              <w:spacing w:line="320" w:lineRule="exact"/>
              <w:ind w:firstLine="420" w:firstLineChars="0"/>
              <w:rPr>
                <w:rFonts w:hint="eastAsia" w:ascii="仿宋" w:hAnsi="仿宋" w:eastAsia="仿宋" w:cs="Times New Roman"/>
                <w:color w:val="000000" w:themeColor="text1"/>
                <w:kern w:val="2"/>
                <w:sz w:val="21"/>
                <w:szCs w:val="21"/>
                <w:highlight w:val="none"/>
                <w14:textFill>
                  <w14:solidFill>
                    <w14:schemeClr w14:val="tx1"/>
                  </w14:solidFill>
                </w14:textFill>
              </w:rPr>
            </w:pPr>
            <w:r>
              <w:rPr>
                <w:rFonts w:hint="eastAsia" w:ascii="仿宋" w:hAnsi="仿宋" w:eastAsia="仿宋" w:cs="Times New Roman"/>
                <w:color w:val="000000" w:themeColor="text1"/>
                <w:kern w:val="2"/>
                <w:sz w:val="21"/>
                <w:szCs w:val="21"/>
                <w:highlight w:val="none"/>
                <w14:textFill>
                  <w14:solidFill>
                    <w14:schemeClr w14:val="tx1"/>
                  </w14:solidFill>
                </w14:textFill>
              </w:rPr>
              <w:t>保费调整原则：定点保险执行期间，因政策调整导致保费发生变化的，必须以就低的原则收取保费，以就高的原则进行赔付，提供承诺函得4分。</w:t>
            </w:r>
          </w:p>
        </w:tc>
        <w:tc>
          <w:tcPr>
            <w:tcW w:w="2412" w:type="dxa"/>
            <w:vAlign w:val="center"/>
          </w:tcPr>
          <w:p>
            <w:pPr>
              <w:snapToGrid/>
              <w:spacing w:line="320" w:lineRule="exact"/>
              <w:ind w:firstLine="420" w:firstLineChars="0"/>
              <w:rPr>
                <w:rFonts w:hint="eastAsia" w:ascii="仿宋" w:hAnsi="仿宋" w:eastAsia="仿宋" w:cs="Times New Roman"/>
                <w:color w:val="000000" w:themeColor="text1"/>
                <w:kern w:val="2"/>
                <w:sz w:val="21"/>
                <w:szCs w:val="21"/>
                <w:highlight w:val="none"/>
                <w14:textFill>
                  <w14:solidFill>
                    <w14:schemeClr w14:val="tx1"/>
                  </w14:solidFill>
                </w14:textFill>
              </w:rPr>
            </w:pPr>
            <w:r>
              <w:rPr>
                <w:rFonts w:hint="eastAsia" w:ascii="仿宋" w:hAnsi="仿宋" w:eastAsia="仿宋" w:cs="Times New Roman"/>
                <w:color w:val="000000" w:themeColor="text1"/>
                <w:kern w:val="2"/>
                <w:sz w:val="21"/>
                <w:szCs w:val="21"/>
                <w:highlight w:val="none"/>
                <w14:textFill>
                  <w14:solidFill>
                    <w14:schemeClr w14:val="tx1"/>
                  </w14:solidFill>
                </w14:textFill>
              </w:rPr>
              <w:t>格式自拟，并加盖供应商公章。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vAlign w:val="center"/>
          </w:tcPr>
          <w:p>
            <w:pPr>
              <w:snapToGrid/>
              <w:spacing w:line="320" w:lineRule="exact"/>
              <w:ind w:firstLine="420" w:firstLineChars="0"/>
              <w:rPr>
                <w:rFonts w:hint="eastAsia" w:ascii="仿宋" w:hAnsi="仿宋" w:eastAsia="仿宋" w:cs="Times New Roman"/>
                <w:color w:val="000000" w:themeColor="text1"/>
                <w:kern w:val="2"/>
                <w:sz w:val="21"/>
                <w:szCs w:val="21"/>
                <w:highlight w:val="none"/>
                <w14:textFill>
                  <w14:solidFill>
                    <w14:schemeClr w14:val="tx1"/>
                  </w14:solidFill>
                </w14:textFill>
              </w:rPr>
            </w:pPr>
          </w:p>
        </w:tc>
        <w:tc>
          <w:tcPr>
            <w:tcW w:w="880" w:type="dxa"/>
            <w:vMerge w:val="continue"/>
            <w:vAlign w:val="center"/>
          </w:tcPr>
          <w:p>
            <w:pPr>
              <w:snapToGrid/>
              <w:spacing w:line="320" w:lineRule="exact"/>
              <w:ind w:firstLine="420" w:firstLineChars="0"/>
              <w:rPr>
                <w:rFonts w:hint="eastAsia" w:ascii="仿宋" w:hAnsi="仿宋" w:eastAsia="仿宋" w:cs="Times New Roman"/>
                <w:color w:val="000000" w:themeColor="text1"/>
                <w:kern w:val="2"/>
                <w:sz w:val="21"/>
                <w:szCs w:val="21"/>
                <w:highlight w:val="none"/>
                <w14:textFill>
                  <w14:solidFill>
                    <w14:schemeClr w14:val="tx1"/>
                  </w14:solidFill>
                </w14:textFill>
              </w:rPr>
            </w:pPr>
          </w:p>
        </w:tc>
        <w:tc>
          <w:tcPr>
            <w:tcW w:w="1225" w:type="dxa"/>
            <w:vAlign w:val="center"/>
          </w:tcPr>
          <w:p>
            <w:pPr>
              <w:snapToGrid/>
              <w:spacing w:line="320" w:lineRule="exact"/>
              <w:rPr>
                <w:rFonts w:hint="eastAsia" w:ascii="仿宋" w:hAnsi="仿宋" w:eastAsia="仿宋" w:cs="Times New Roman"/>
                <w:color w:val="000000" w:themeColor="text1"/>
                <w:kern w:val="2"/>
                <w:sz w:val="21"/>
                <w:szCs w:val="21"/>
                <w:highlight w:val="none"/>
                <w14:textFill>
                  <w14:solidFill>
                    <w14:schemeClr w14:val="tx1"/>
                  </w14:solidFill>
                </w14:textFill>
              </w:rPr>
            </w:pPr>
            <w:r>
              <w:rPr>
                <w:rFonts w:hint="eastAsia" w:ascii="仿宋" w:hAnsi="仿宋" w:eastAsia="仿宋" w:cs="Times New Roman"/>
                <w:color w:val="000000" w:themeColor="text1"/>
                <w:kern w:val="2"/>
                <w:sz w:val="21"/>
                <w:szCs w:val="21"/>
                <w:highlight w:val="none"/>
                <w14:textFill>
                  <w14:solidFill>
                    <w14:schemeClr w14:val="tx1"/>
                  </w14:solidFill>
                </w14:textFill>
              </w:rPr>
              <w:t>重大事故的处理措施（10分）</w:t>
            </w:r>
          </w:p>
        </w:tc>
        <w:tc>
          <w:tcPr>
            <w:tcW w:w="641" w:type="dxa"/>
            <w:vAlign w:val="center"/>
          </w:tcPr>
          <w:p>
            <w:pPr>
              <w:snapToGrid/>
              <w:spacing w:line="320" w:lineRule="exact"/>
              <w:jc w:val="left"/>
              <w:rPr>
                <w:rFonts w:hint="eastAsia" w:ascii="仿宋" w:hAnsi="仿宋" w:eastAsia="仿宋" w:cs="Times New Roman"/>
                <w:color w:val="000000" w:themeColor="text1"/>
                <w:kern w:val="2"/>
                <w:sz w:val="21"/>
                <w:szCs w:val="21"/>
                <w:highlight w:val="none"/>
                <w14:textFill>
                  <w14:solidFill>
                    <w14:schemeClr w14:val="tx1"/>
                  </w14:solidFill>
                </w14:textFill>
              </w:rPr>
            </w:pPr>
            <w:r>
              <w:rPr>
                <w:rFonts w:hint="eastAsia" w:ascii="仿宋" w:hAnsi="仿宋" w:eastAsia="仿宋" w:cs="Times New Roman"/>
                <w:color w:val="000000" w:themeColor="text1"/>
                <w:kern w:val="2"/>
                <w:sz w:val="21"/>
                <w:szCs w:val="21"/>
                <w:highlight w:val="none"/>
                <w14:textFill>
                  <w14:solidFill>
                    <w14:schemeClr w14:val="tx1"/>
                  </w14:solidFill>
                </w14:textFill>
              </w:rPr>
              <w:t>10</w:t>
            </w:r>
          </w:p>
        </w:tc>
        <w:tc>
          <w:tcPr>
            <w:tcW w:w="4008" w:type="dxa"/>
            <w:vAlign w:val="center"/>
          </w:tcPr>
          <w:p>
            <w:pPr>
              <w:snapToGrid/>
              <w:spacing w:line="320" w:lineRule="exact"/>
              <w:ind w:firstLine="420" w:firstLineChars="0"/>
              <w:rPr>
                <w:rFonts w:hint="eastAsia" w:ascii="仿宋" w:hAnsi="仿宋" w:eastAsia="仿宋" w:cs="Times New Roman"/>
                <w:color w:val="000000" w:themeColor="text1"/>
                <w:kern w:val="2"/>
                <w:sz w:val="21"/>
                <w:szCs w:val="21"/>
                <w:highlight w:val="none"/>
                <w14:textFill>
                  <w14:solidFill>
                    <w14:schemeClr w14:val="tx1"/>
                  </w14:solidFill>
                </w14:textFill>
              </w:rPr>
            </w:pPr>
            <w:r>
              <w:rPr>
                <w:rFonts w:hint="eastAsia" w:ascii="仿宋" w:hAnsi="仿宋" w:eastAsia="仿宋" w:cs="Times New Roman"/>
                <w:color w:val="000000" w:themeColor="text1"/>
                <w:kern w:val="2"/>
                <w:sz w:val="21"/>
                <w:szCs w:val="21"/>
                <w:highlight w:val="none"/>
                <w14:textFill>
                  <w14:solidFill>
                    <w14:schemeClr w14:val="tx1"/>
                  </w14:solidFill>
                </w14:textFill>
              </w:rPr>
              <w:t>如遇重大或具社会影响力的保险事故，供应商能委派专人协调出险地政府、公安机关、医院等各方面关系，促进事故的及时、有效解决。如涉及人伤，可委派具有专业资格的医师，提供医疗跟踪服务。提供具体服务方案，优秀的得10分，良好的得6分，一般得3分，未提供具体服务方案的不得分。</w:t>
            </w:r>
          </w:p>
        </w:tc>
        <w:tc>
          <w:tcPr>
            <w:tcW w:w="2412" w:type="dxa"/>
            <w:vMerge w:val="restart"/>
            <w:vAlign w:val="center"/>
          </w:tcPr>
          <w:p>
            <w:pPr>
              <w:snapToGrid/>
              <w:spacing w:line="320" w:lineRule="exact"/>
              <w:ind w:firstLine="420" w:firstLineChars="0"/>
              <w:rPr>
                <w:rFonts w:hint="eastAsia" w:ascii="仿宋" w:hAnsi="仿宋" w:eastAsia="仿宋" w:cs="Times New Roman"/>
                <w:color w:val="000000" w:themeColor="text1"/>
                <w:kern w:val="2"/>
                <w:sz w:val="21"/>
                <w:szCs w:val="21"/>
                <w:highlight w:val="none"/>
                <w14:textFill>
                  <w14:solidFill>
                    <w14:schemeClr w14:val="tx1"/>
                  </w14:solidFill>
                </w14:textFill>
              </w:rPr>
            </w:pPr>
            <w:r>
              <w:rPr>
                <w:rFonts w:hint="eastAsia" w:ascii="仿宋" w:hAnsi="仿宋" w:eastAsia="仿宋" w:cs="Times New Roman"/>
                <w:color w:val="000000" w:themeColor="text1"/>
                <w:kern w:val="2"/>
                <w:sz w:val="21"/>
                <w:szCs w:val="21"/>
                <w:highlight w:val="none"/>
                <w14:textFill>
                  <w14:solidFill>
                    <w14:schemeClr w14:val="tx1"/>
                  </w14:solidFill>
                </w14:textFill>
              </w:rPr>
              <w:t>1.提供方案，格式自拟，并加盖供应商公章。</w:t>
            </w:r>
          </w:p>
          <w:p>
            <w:pPr>
              <w:snapToGrid/>
              <w:spacing w:line="320" w:lineRule="exact"/>
              <w:ind w:firstLine="420" w:firstLineChars="0"/>
              <w:rPr>
                <w:rFonts w:hint="eastAsia" w:ascii="仿宋" w:hAnsi="仿宋" w:eastAsia="仿宋" w:cs="Times New Roman"/>
                <w:color w:val="000000" w:themeColor="text1"/>
                <w:kern w:val="2"/>
                <w:sz w:val="21"/>
                <w:szCs w:val="21"/>
                <w:highlight w:val="none"/>
                <w14:textFill>
                  <w14:solidFill>
                    <w14:schemeClr w14:val="tx1"/>
                  </w14:solidFill>
                </w14:textFill>
              </w:rPr>
            </w:pPr>
            <w:r>
              <w:rPr>
                <w:rFonts w:hint="eastAsia" w:ascii="仿宋" w:hAnsi="仿宋" w:eastAsia="仿宋" w:cs="Times New Roman"/>
                <w:color w:val="000000" w:themeColor="text1"/>
                <w:kern w:val="2"/>
                <w:sz w:val="21"/>
                <w:szCs w:val="21"/>
                <w:highlight w:val="none"/>
                <w14:textFill>
                  <w14:solidFill>
                    <w14:schemeClr w14:val="tx1"/>
                  </w14:solidFill>
                </w14:textFill>
              </w:rPr>
              <w:t>2.方案及措施：方案科学合理，有针对性，符合项目实际情况且表述清晰有逻辑性的为“优”</w:t>
            </w:r>
            <w:r>
              <w:rPr>
                <w:rFonts w:hint="eastAsia" w:ascii="仿宋" w:hAnsi="仿宋" w:eastAsia="仿宋" w:cs="Times New Roman"/>
                <w:color w:val="000000" w:themeColor="text1"/>
                <w:kern w:val="2"/>
                <w:sz w:val="21"/>
                <w:szCs w:val="21"/>
                <w:highlight w:val="none"/>
                <w:lang w:val="en-US"/>
                <w14:textFill>
                  <w14:solidFill>
                    <w14:schemeClr w14:val="tx1"/>
                  </w14:solidFill>
                </w14:textFill>
              </w:rPr>
              <w:t>；</w:t>
            </w:r>
            <w:r>
              <w:rPr>
                <w:rFonts w:hint="eastAsia" w:ascii="仿宋" w:hAnsi="仿宋" w:eastAsia="仿宋" w:cs="Times New Roman"/>
                <w:color w:val="000000" w:themeColor="text1"/>
                <w:kern w:val="2"/>
                <w:sz w:val="21"/>
                <w:szCs w:val="21"/>
                <w:highlight w:val="none"/>
                <w14:textFill>
                  <w14:solidFill>
                    <w14:schemeClr w14:val="tx1"/>
                  </w14:solidFill>
                </w14:textFill>
              </w:rPr>
              <w:t>方案科学合理，有针对性，符合项目实际情况且表述清晰有逻辑性，但稍有不足的为“良”；方案基本符合项目情况，有针对性但逻辑性和表述有欠缺的，为“一般”。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vAlign w:val="center"/>
          </w:tcPr>
          <w:p>
            <w:pPr>
              <w:snapToGrid/>
              <w:spacing w:line="320" w:lineRule="exact"/>
              <w:ind w:firstLine="420" w:firstLineChars="0"/>
              <w:rPr>
                <w:rFonts w:hint="eastAsia" w:ascii="仿宋" w:hAnsi="仿宋" w:eastAsia="仿宋" w:cs="Times New Roman"/>
                <w:color w:val="000000" w:themeColor="text1"/>
                <w:kern w:val="2"/>
                <w:sz w:val="21"/>
                <w:szCs w:val="21"/>
                <w:highlight w:val="none"/>
                <w14:textFill>
                  <w14:solidFill>
                    <w14:schemeClr w14:val="tx1"/>
                  </w14:solidFill>
                </w14:textFill>
              </w:rPr>
            </w:pPr>
          </w:p>
        </w:tc>
        <w:tc>
          <w:tcPr>
            <w:tcW w:w="880" w:type="dxa"/>
            <w:vMerge w:val="continue"/>
            <w:vAlign w:val="center"/>
          </w:tcPr>
          <w:p>
            <w:pPr>
              <w:snapToGrid/>
              <w:spacing w:line="320" w:lineRule="exact"/>
              <w:ind w:firstLine="420" w:firstLineChars="0"/>
              <w:rPr>
                <w:rFonts w:hint="eastAsia" w:ascii="仿宋" w:hAnsi="仿宋" w:eastAsia="仿宋" w:cs="Times New Roman"/>
                <w:color w:val="000000" w:themeColor="text1"/>
                <w:kern w:val="2"/>
                <w:sz w:val="21"/>
                <w:szCs w:val="21"/>
                <w:highlight w:val="none"/>
                <w14:textFill>
                  <w14:solidFill>
                    <w14:schemeClr w14:val="tx1"/>
                  </w14:solidFill>
                </w14:textFill>
              </w:rPr>
            </w:pPr>
          </w:p>
        </w:tc>
        <w:tc>
          <w:tcPr>
            <w:tcW w:w="1225" w:type="dxa"/>
            <w:vAlign w:val="center"/>
          </w:tcPr>
          <w:p>
            <w:pPr>
              <w:snapToGrid/>
              <w:spacing w:line="320" w:lineRule="exact"/>
              <w:rPr>
                <w:rFonts w:hint="eastAsia" w:ascii="仿宋" w:hAnsi="仿宋" w:eastAsia="仿宋" w:cs="Times New Roman"/>
                <w:color w:val="000000" w:themeColor="text1"/>
                <w:kern w:val="2"/>
                <w:sz w:val="21"/>
                <w:szCs w:val="21"/>
                <w:highlight w:val="none"/>
                <w14:textFill>
                  <w14:solidFill>
                    <w14:schemeClr w14:val="tx1"/>
                  </w14:solidFill>
                </w14:textFill>
              </w:rPr>
            </w:pPr>
            <w:r>
              <w:rPr>
                <w:rFonts w:hint="eastAsia" w:ascii="仿宋" w:hAnsi="仿宋" w:eastAsia="仿宋" w:cs="Times New Roman"/>
                <w:color w:val="000000" w:themeColor="text1"/>
                <w:kern w:val="2"/>
                <w:sz w:val="21"/>
                <w:szCs w:val="21"/>
                <w:highlight w:val="none"/>
                <w14:textFill>
                  <w14:solidFill>
                    <w14:schemeClr w14:val="tx1"/>
                  </w14:solidFill>
                </w14:textFill>
              </w:rPr>
              <w:t>保险政策培训、宣传（10分）</w:t>
            </w:r>
          </w:p>
        </w:tc>
        <w:tc>
          <w:tcPr>
            <w:tcW w:w="641" w:type="dxa"/>
            <w:vAlign w:val="center"/>
          </w:tcPr>
          <w:p>
            <w:pPr>
              <w:snapToGrid/>
              <w:spacing w:line="320" w:lineRule="exact"/>
              <w:jc w:val="left"/>
              <w:rPr>
                <w:rFonts w:hint="eastAsia" w:ascii="仿宋" w:hAnsi="仿宋" w:eastAsia="仿宋" w:cs="Times New Roman"/>
                <w:color w:val="000000" w:themeColor="text1"/>
                <w:kern w:val="2"/>
                <w:sz w:val="21"/>
                <w:szCs w:val="21"/>
                <w:highlight w:val="none"/>
                <w14:textFill>
                  <w14:solidFill>
                    <w14:schemeClr w14:val="tx1"/>
                  </w14:solidFill>
                </w14:textFill>
              </w:rPr>
            </w:pPr>
            <w:r>
              <w:rPr>
                <w:rFonts w:hint="eastAsia" w:ascii="仿宋" w:hAnsi="仿宋" w:eastAsia="仿宋" w:cs="Times New Roman"/>
                <w:color w:val="000000" w:themeColor="text1"/>
                <w:kern w:val="2"/>
                <w:sz w:val="21"/>
                <w:szCs w:val="21"/>
                <w:highlight w:val="none"/>
                <w14:textFill>
                  <w14:solidFill>
                    <w14:schemeClr w14:val="tx1"/>
                  </w14:solidFill>
                </w14:textFill>
              </w:rPr>
              <w:t>10</w:t>
            </w:r>
          </w:p>
        </w:tc>
        <w:tc>
          <w:tcPr>
            <w:tcW w:w="4008" w:type="dxa"/>
            <w:vAlign w:val="center"/>
          </w:tcPr>
          <w:p>
            <w:pPr>
              <w:snapToGrid/>
              <w:spacing w:line="320" w:lineRule="exact"/>
              <w:ind w:firstLine="420" w:firstLineChars="0"/>
              <w:rPr>
                <w:rFonts w:hint="eastAsia" w:ascii="仿宋" w:hAnsi="仿宋" w:eastAsia="仿宋" w:cs="Times New Roman"/>
                <w:color w:val="000000" w:themeColor="text1"/>
                <w:kern w:val="2"/>
                <w:sz w:val="21"/>
                <w:szCs w:val="21"/>
                <w:highlight w:val="none"/>
                <w14:textFill>
                  <w14:solidFill>
                    <w14:schemeClr w14:val="tx1"/>
                  </w14:solidFill>
                </w14:textFill>
              </w:rPr>
            </w:pPr>
            <w:r>
              <w:rPr>
                <w:rFonts w:hint="eastAsia" w:ascii="仿宋" w:hAnsi="仿宋" w:eastAsia="仿宋" w:cs="Times New Roman"/>
                <w:color w:val="000000" w:themeColor="text1"/>
                <w:kern w:val="2"/>
                <w:sz w:val="21"/>
                <w:szCs w:val="21"/>
                <w:highlight w:val="none"/>
                <w14:textFill>
                  <w14:solidFill>
                    <w14:schemeClr w14:val="tx1"/>
                  </w14:solidFill>
                </w14:textFill>
              </w:rPr>
              <w:t>保险公司应对采购人、被保险单位在保险期限内有计划的定期和不定期的开展保险专业知识和风险管理方面的培训和交流。提供具体方案，优秀的得10分，良好的得6分，一般的得3分，未提供具体服务方案的不得分。</w:t>
            </w:r>
          </w:p>
        </w:tc>
        <w:tc>
          <w:tcPr>
            <w:tcW w:w="2412" w:type="dxa"/>
            <w:vMerge w:val="continue"/>
            <w:vAlign w:val="center"/>
          </w:tcPr>
          <w:p>
            <w:pPr>
              <w:snapToGrid/>
              <w:spacing w:line="320" w:lineRule="exact"/>
              <w:ind w:firstLine="420" w:firstLineChars="0"/>
              <w:rPr>
                <w:rFonts w:hint="eastAsia" w:ascii="仿宋" w:hAnsi="仿宋" w:eastAsia="仿宋" w:cs="Times New Roman"/>
                <w:color w:val="000000" w:themeColor="text1"/>
                <w:kern w:val="2"/>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15" w:type="dxa"/>
            <w:vMerge w:val="restart"/>
            <w:vAlign w:val="center"/>
          </w:tcPr>
          <w:p>
            <w:pPr>
              <w:snapToGrid/>
              <w:spacing w:line="320" w:lineRule="exact"/>
              <w:rPr>
                <w:rFonts w:hint="eastAsia" w:ascii="仿宋" w:hAnsi="仿宋" w:eastAsia="仿宋" w:cs="Times New Roman"/>
                <w:color w:val="000000" w:themeColor="text1"/>
                <w:kern w:val="2"/>
                <w:sz w:val="21"/>
                <w:szCs w:val="21"/>
                <w:highlight w:val="none"/>
                <w14:textFill>
                  <w14:solidFill>
                    <w14:schemeClr w14:val="tx1"/>
                  </w14:solidFill>
                </w14:textFill>
              </w:rPr>
            </w:pPr>
            <w:r>
              <w:rPr>
                <w:rFonts w:hint="eastAsia" w:ascii="仿宋" w:hAnsi="仿宋" w:eastAsia="仿宋" w:cs="Times New Roman"/>
                <w:color w:val="000000" w:themeColor="text1"/>
                <w:kern w:val="2"/>
                <w:sz w:val="21"/>
                <w:szCs w:val="21"/>
                <w:highlight w:val="none"/>
                <w14:textFill>
                  <w14:solidFill>
                    <w14:schemeClr w14:val="tx1"/>
                  </w14:solidFill>
                </w14:textFill>
              </w:rPr>
              <w:t>3</w:t>
            </w:r>
          </w:p>
        </w:tc>
        <w:tc>
          <w:tcPr>
            <w:tcW w:w="880" w:type="dxa"/>
            <w:vMerge w:val="restart"/>
            <w:vAlign w:val="center"/>
          </w:tcPr>
          <w:p>
            <w:pPr>
              <w:snapToGrid/>
              <w:spacing w:line="320" w:lineRule="exact"/>
              <w:jc w:val="left"/>
              <w:rPr>
                <w:rFonts w:hint="eastAsia" w:ascii="仿宋" w:hAnsi="仿宋" w:eastAsia="仿宋" w:cs="Times New Roman"/>
                <w:color w:val="000000" w:themeColor="text1"/>
                <w:kern w:val="2"/>
                <w:sz w:val="21"/>
                <w:szCs w:val="21"/>
                <w:highlight w:val="none"/>
                <w14:textFill>
                  <w14:solidFill>
                    <w14:schemeClr w14:val="tx1"/>
                  </w14:solidFill>
                </w14:textFill>
              </w:rPr>
            </w:pPr>
            <w:r>
              <w:rPr>
                <w:rFonts w:hint="eastAsia" w:ascii="仿宋" w:hAnsi="仿宋" w:eastAsia="仿宋" w:cs="Times New Roman"/>
                <w:color w:val="000000" w:themeColor="text1"/>
                <w:kern w:val="2"/>
                <w:sz w:val="21"/>
                <w:szCs w:val="21"/>
                <w:highlight w:val="none"/>
                <w14:textFill>
                  <w14:solidFill>
                    <w14:schemeClr w14:val="tx1"/>
                  </w14:solidFill>
                </w14:textFill>
              </w:rPr>
              <w:t>商务部分（20%）</w:t>
            </w:r>
          </w:p>
        </w:tc>
        <w:tc>
          <w:tcPr>
            <w:tcW w:w="1225" w:type="dxa"/>
            <w:vAlign w:val="center"/>
          </w:tcPr>
          <w:p>
            <w:pPr>
              <w:snapToGrid/>
              <w:spacing w:line="320" w:lineRule="exact"/>
              <w:jc w:val="left"/>
              <w:rPr>
                <w:rFonts w:hint="eastAsia" w:ascii="仿宋" w:hAnsi="仿宋" w:eastAsia="仿宋" w:cs="Times New Roman"/>
                <w:color w:val="000000" w:themeColor="text1"/>
                <w:kern w:val="2"/>
                <w:sz w:val="21"/>
                <w:szCs w:val="21"/>
                <w:highlight w:val="none"/>
                <w14:textFill>
                  <w14:solidFill>
                    <w14:schemeClr w14:val="tx1"/>
                  </w14:solidFill>
                </w14:textFill>
              </w:rPr>
            </w:pPr>
            <w:r>
              <w:rPr>
                <w:rFonts w:hint="eastAsia" w:ascii="仿宋" w:hAnsi="仿宋" w:eastAsia="仿宋" w:cs="Times New Roman"/>
                <w:color w:val="000000" w:themeColor="text1"/>
                <w:kern w:val="2"/>
                <w:sz w:val="21"/>
                <w:szCs w:val="21"/>
                <w:highlight w:val="none"/>
                <w14:textFill>
                  <w14:solidFill>
                    <w14:schemeClr w14:val="tx1"/>
                  </w14:solidFill>
                </w14:textFill>
              </w:rPr>
              <w:t>服务经验（8分）</w:t>
            </w:r>
          </w:p>
        </w:tc>
        <w:tc>
          <w:tcPr>
            <w:tcW w:w="641" w:type="dxa"/>
            <w:vAlign w:val="center"/>
          </w:tcPr>
          <w:p>
            <w:pPr>
              <w:snapToGrid/>
              <w:spacing w:line="320" w:lineRule="exact"/>
              <w:jc w:val="left"/>
              <w:rPr>
                <w:rFonts w:hint="eastAsia" w:ascii="仿宋" w:hAnsi="仿宋" w:eastAsia="仿宋" w:cs="Times New Roman"/>
                <w:color w:val="000000" w:themeColor="text1"/>
                <w:kern w:val="2"/>
                <w:sz w:val="21"/>
                <w:szCs w:val="21"/>
                <w:highlight w:val="none"/>
                <w14:textFill>
                  <w14:solidFill>
                    <w14:schemeClr w14:val="tx1"/>
                  </w14:solidFill>
                </w14:textFill>
              </w:rPr>
            </w:pPr>
            <w:r>
              <w:rPr>
                <w:rFonts w:hint="eastAsia" w:ascii="仿宋" w:hAnsi="仿宋" w:eastAsia="仿宋" w:cs="Times New Roman"/>
                <w:color w:val="000000" w:themeColor="text1"/>
                <w:kern w:val="2"/>
                <w:sz w:val="21"/>
                <w:szCs w:val="21"/>
                <w:highlight w:val="none"/>
                <w14:textFill>
                  <w14:solidFill>
                    <w14:schemeClr w14:val="tx1"/>
                  </w14:solidFill>
                </w14:textFill>
              </w:rPr>
              <w:t>8</w:t>
            </w:r>
          </w:p>
        </w:tc>
        <w:tc>
          <w:tcPr>
            <w:tcW w:w="4008" w:type="dxa"/>
            <w:vAlign w:val="center"/>
          </w:tcPr>
          <w:p>
            <w:pPr>
              <w:snapToGrid/>
              <w:spacing w:line="320" w:lineRule="exact"/>
              <w:ind w:firstLine="420" w:firstLineChars="0"/>
              <w:rPr>
                <w:rFonts w:hint="eastAsia" w:ascii="仿宋" w:hAnsi="仿宋" w:eastAsia="仿宋" w:cs="Times New Roman"/>
                <w:color w:val="000000" w:themeColor="text1"/>
                <w:kern w:val="2"/>
                <w:sz w:val="21"/>
                <w:szCs w:val="21"/>
                <w:highlight w:val="none"/>
                <w14:textFill>
                  <w14:solidFill>
                    <w14:schemeClr w14:val="tx1"/>
                  </w14:solidFill>
                </w14:textFill>
              </w:rPr>
            </w:pPr>
            <w:r>
              <w:rPr>
                <w:rFonts w:hint="eastAsia" w:ascii="仿宋" w:hAnsi="仿宋" w:eastAsia="仿宋" w:cs="Times New Roman"/>
                <w:color w:val="000000" w:themeColor="text1"/>
                <w:kern w:val="2"/>
                <w:sz w:val="21"/>
                <w:szCs w:val="21"/>
                <w:highlight w:val="none"/>
                <w14:textFill>
                  <w14:solidFill>
                    <w14:schemeClr w14:val="tx1"/>
                  </w14:solidFill>
                </w14:textFill>
              </w:rPr>
              <w:t>自2020年1月1日起，供应商承保过类似医疗单位医疗责任商业保险业务的，有1个得2分，每增加1个得2分；本项最多得8分。</w:t>
            </w:r>
          </w:p>
        </w:tc>
        <w:tc>
          <w:tcPr>
            <w:tcW w:w="2412" w:type="dxa"/>
            <w:vAlign w:val="center"/>
          </w:tcPr>
          <w:p>
            <w:pPr>
              <w:snapToGrid/>
              <w:spacing w:line="320" w:lineRule="exact"/>
              <w:ind w:firstLine="420" w:firstLineChars="0"/>
              <w:rPr>
                <w:rFonts w:hint="eastAsia" w:ascii="仿宋" w:hAnsi="仿宋" w:eastAsia="仿宋" w:cs="Times New Roman"/>
                <w:color w:val="000000" w:themeColor="text1"/>
                <w:kern w:val="2"/>
                <w:sz w:val="21"/>
                <w:szCs w:val="21"/>
                <w:highlight w:val="none"/>
                <w14:textFill>
                  <w14:solidFill>
                    <w14:schemeClr w14:val="tx1"/>
                  </w14:solidFill>
                </w14:textFill>
              </w:rPr>
            </w:pPr>
            <w:r>
              <w:rPr>
                <w:rFonts w:hint="eastAsia" w:ascii="仿宋" w:hAnsi="仿宋" w:eastAsia="仿宋" w:cs="Times New Roman"/>
                <w:color w:val="000000" w:themeColor="text1"/>
                <w:kern w:val="2"/>
                <w:sz w:val="21"/>
                <w:szCs w:val="21"/>
                <w:highlight w:val="none"/>
                <w14:textFill>
                  <w14:solidFill>
                    <w14:schemeClr w14:val="tx1"/>
                  </w14:solidFill>
                </w14:textFill>
              </w:rPr>
              <w:t>提供履约期投保单位的证明函</w:t>
            </w:r>
            <w:r>
              <w:rPr>
                <w:rFonts w:hint="eastAsia" w:ascii="仿宋" w:hAnsi="仿宋" w:eastAsia="仿宋" w:cs="Times New Roman"/>
                <w:color w:val="000000" w:themeColor="text1"/>
                <w:kern w:val="2"/>
                <w:sz w:val="21"/>
                <w:szCs w:val="21"/>
                <w:highlight w:val="none"/>
                <w:lang w:eastAsia="zh-CN"/>
                <w14:textFill>
                  <w14:solidFill>
                    <w14:schemeClr w14:val="tx1"/>
                  </w14:solidFill>
                </w14:textFill>
              </w:rPr>
              <w:t>或</w:t>
            </w:r>
            <w:r>
              <w:rPr>
                <w:rFonts w:hint="eastAsia" w:ascii="仿宋" w:hAnsi="仿宋" w:eastAsia="仿宋" w:cs="Times New Roman"/>
                <w:color w:val="000000" w:themeColor="text1"/>
                <w:kern w:val="2"/>
                <w:sz w:val="21"/>
                <w:szCs w:val="21"/>
                <w:highlight w:val="none"/>
                <w14:textFill>
                  <w14:solidFill>
                    <w14:schemeClr w14:val="tx1"/>
                  </w14:solidFill>
                </w14:textFill>
              </w:rPr>
              <w:t>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vAlign w:val="center"/>
          </w:tcPr>
          <w:p>
            <w:pPr>
              <w:snapToGrid/>
              <w:spacing w:line="320" w:lineRule="exact"/>
              <w:ind w:firstLine="420" w:firstLineChars="0"/>
              <w:rPr>
                <w:rFonts w:hint="eastAsia" w:ascii="仿宋" w:hAnsi="仿宋" w:eastAsia="仿宋" w:cs="Times New Roman"/>
                <w:color w:val="000000" w:themeColor="text1"/>
                <w:kern w:val="2"/>
                <w:sz w:val="21"/>
                <w:szCs w:val="21"/>
                <w:highlight w:val="none"/>
                <w14:textFill>
                  <w14:solidFill>
                    <w14:schemeClr w14:val="tx1"/>
                  </w14:solidFill>
                </w14:textFill>
              </w:rPr>
            </w:pPr>
          </w:p>
        </w:tc>
        <w:tc>
          <w:tcPr>
            <w:tcW w:w="880" w:type="dxa"/>
            <w:vMerge w:val="continue"/>
            <w:vAlign w:val="center"/>
          </w:tcPr>
          <w:p>
            <w:pPr>
              <w:snapToGrid/>
              <w:spacing w:line="320" w:lineRule="exact"/>
              <w:ind w:firstLine="420" w:firstLineChars="0"/>
              <w:rPr>
                <w:rFonts w:hint="eastAsia" w:ascii="仿宋" w:hAnsi="仿宋" w:eastAsia="仿宋" w:cs="Times New Roman"/>
                <w:color w:val="000000" w:themeColor="text1"/>
                <w:kern w:val="2"/>
                <w:sz w:val="21"/>
                <w:szCs w:val="21"/>
                <w:highlight w:val="none"/>
                <w14:textFill>
                  <w14:solidFill>
                    <w14:schemeClr w14:val="tx1"/>
                  </w14:solidFill>
                </w14:textFill>
              </w:rPr>
            </w:pPr>
          </w:p>
        </w:tc>
        <w:tc>
          <w:tcPr>
            <w:tcW w:w="1225" w:type="dxa"/>
            <w:vAlign w:val="center"/>
          </w:tcPr>
          <w:p>
            <w:pPr>
              <w:snapToGrid/>
              <w:spacing w:line="320" w:lineRule="exact"/>
              <w:jc w:val="left"/>
              <w:rPr>
                <w:rFonts w:hint="eastAsia" w:ascii="仿宋" w:hAnsi="仿宋" w:eastAsia="仿宋" w:cs="Times New Roman"/>
                <w:color w:val="000000" w:themeColor="text1"/>
                <w:kern w:val="2"/>
                <w:sz w:val="21"/>
                <w:szCs w:val="21"/>
                <w:highlight w:val="none"/>
                <w14:textFill>
                  <w14:solidFill>
                    <w14:schemeClr w14:val="tx1"/>
                  </w14:solidFill>
                </w14:textFill>
              </w:rPr>
            </w:pPr>
            <w:r>
              <w:rPr>
                <w:rFonts w:hint="eastAsia" w:ascii="仿宋" w:hAnsi="仿宋" w:eastAsia="仿宋" w:cs="Times New Roman"/>
                <w:color w:val="000000" w:themeColor="text1"/>
                <w:kern w:val="2"/>
                <w:sz w:val="21"/>
                <w:szCs w:val="21"/>
                <w:highlight w:val="none"/>
                <w14:textFill>
                  <w14:solidFill>
                    <w14:schemeClr w14:val="tx1"/>
                  </w14:solidFill>
                </w14:textFill>
              </w:rPr>
              <w:t>供应商产险综合偿付能力充足率（8分）</w:t>
            </w:r>
          </w:p>
        </w:tc>
        <w:tc>
          <w:tcPr>
            <w:tcW w:w="641" w:type="dxa"/>
            <w:vAlign w:val="center"/>
          </w:tcPr>
          <w:p>
            <w:pPr>
              <w:snapToGrid/>
              <w:spacing w:line="320" w:lineRule="exact"/>
              <w:jc w:val="left"/>
              <w:rPr>
                <w:rFonts w:hint="eastAsia" w:ascii="仿宋" w:hAnsi="仿宋" w:eastAsia="仿宋" w:cs="Times New Roman"/>
                <w:color w:val="000000" w:themeColor="text1"/>
                <w:kern w:val="2"/>
                <w:sz w:val="21"/>
                <w:szCs w:val="21"/>
                <w:highlight w:val="none"/>
                <w14:textFill>
                  <w14:solidFill>
                    <w14:schemeClr w14:val="tx1"/>
                  </w14:solidFill>
                </w14:textFill>
              </w:rPr>
            </w:pPr>
            <w:r>
              <w:rPr>
                <w:rFonts w:hint="eastAsia" w:ascii="仿宋" w:hAnsi="仿宋" w:eastAsia="仿宋" w:cs="Times New Roman"/>
                <w:color w:val="000000" w:themeColor="text1"/>
                <w:kern w:val="2"/>
                <w:sz w:val="21"/>
                <w:szCs w:val="21"/>
                <w:highlight w:val="none"/>
                <w14:textFill>
                  <w14:solidFill>
                    <w14:schemeClr w14:val="tx1"/>
                  </w14:solidFill>
                </w14:textFill>
              </w:rPr>
              <w:t>8</w:t>
            </w:r>
          </w:p>
        </w:tc>
        <w:tc>
          <w:tcPr>
            <w:tcW w:w="4008" w:type="dxa"/>
            <w:vAlign w:val="center"/>
          </w:tcPr>
          <w:p>
            <w:pPr>
              <w:snapToGrid/>
              <w:spacing w:line="320" w:lineRule="exact"/>
              <w:ind w:firstLine="420" w:firstLineChars="0"/>
              <w:rPr>
                <w:rFonts w:hint="eastAsia" w:ascii="仿宋" w:hAnsi="仿宋" w:eastAsia="仿宋" w:cs="Times New Roman"/>
                <w:color w:val="000000" w:themeColor="text1"/>
                <w:kern w:val="2"/>
                <w:sz w:val="21"/>
                <w:szCs w:val="21"/>
                <w:highlight w:val="none"/>
                <w14:textFill>
                  <w14:solidFill>
                    <w14:schemeClr w14:val="tx1"/>
                  </w14:solidFill>
                </w14:textFill>
              </w:rPr>
            </w:pPr>
            <w:r>
              <w:rPr>
                <w:rFonts w:hint="eastAsia" w:ascii="仿宋" w:hAnsi="仿宋" w:eastAsia="仿宋" w:cs="Times New Roman"/>
                <w:color w:val="000000" w:themeColor="text1"/>
                <w:kern w:val="2"/>
                <w:sz w:val="21"/>
                <w:szCs w:val="21"/>
                <w:highlight w:val="none"/>
                <w14:textFill>
                  <w14:solidFill>
                    <w14:schemeClr w14:val="tx1"/>
                  </w14:solidFill>
                </w14:textFill>
              </w:rPr>
              <w:t>供应商总公司在2023年综合偿付能力充足率：</w:t>
            </w:r>
          </w:p>
          <w:p>
            <w:pPr>
              <w:snapToGrid/>
              <w:spacing w:line="320" w:lineRule="exact"/>
              <w:ind w:firstLine="420" w:firstLineChars="0"/>
              <w:rPr>
                <w:rFonts w:hint="eastAsia" w:ascii="仿宋" w:hAnsi="仿宋" w:eastAsia="仿宋" w:cs="Times New Roman"/>
                <w:color w:val="000000" w:themeColor="text1"/>
                <w:kern w:val="2"/>
                <w:sz w:val="21"/>
                <w:szCs w:val="21"/>
                <w:highlight w:val="none"/>
                <w14:textFill>
                  <w14:solidFill>
                    <w14:schemeClr w14:val="tx1"/>
                  </w14:solidFill>
                </w14:textFill>
              </w:rPr>
            </w:pPr>
            <w:r>
              <w:rPr>
                <w:rFonts w:hint="eastAsia" w:ascii="仿宋" w:hAnsi="仿宋" w:eastAsia="仿宋" w:cs="Times New Roman"/>
                <w:color w:val="000000" w:themeColor="text1"/>
                <w:kern w:val="2"/>
                <w:sz w:val="21"/>
                <w:szCs w:val="21"/>
                <w:highlight w:val="none"/>
                <w14:textFill>
                  <w14:solidFill>
                    <w14:schemeClr w14:val="tx1"/>
                  </w14:solidFill>
                </w14:textFill>
              </w:rPr>
              <w:t>综合偿付能力：投标人总公司综合偿付能力充足率大于230%者得</w:t>
            </w:r>
            <w:r>
              <w:rPr>
                <w:rFonts w:hint="eastAsia" w:ascii="仿宋" w:hAnsi="仿宋" w:eastAsia="仿宋" w:cs="Times New Roman"/>
                <w:color w:val="000000" w:themeColor="text1"/>
                <w:kern w:val="2"/>
                <w:sz w:val="21"/>
                <w:szCs w:val="21"/>
                <w:highlight w:val="none"/>
                <w:lang w:val="en-US" w:eastAsia="zh-CN"/>
                <w14:textFill>
                  <w14:solidFill>
                    <w14:schemeClr w14:val="tx1"/>
                  </w14:solidFill>
                </w14:textFill>
              </w:rPr>
              <w:t>8</w:t>
            </w:r>
            <w:r>
              <w:rPr>
                <w:rFonts w:hint="eastAsia" w:ascii="仿宋" w:hAnsi="仿宋" w:eastAsia="仿宋" w:cs="Times New Roman"/>
                <w:color w:val="000000" w:themeColor="text1"/>
                <w:kern w:val="2"/>
                <w:sz w:val="21"/>
                <w:szCs w:val="21"/>
                <w:highlight w:val="none"/>
                <w14:textFill>
                  <w14:solidFill>
                    <w14:schemeClr w14:val="tx1"/>
                  </w14:solidFill>
                </w14:textFill>
              </w:rPr>
              <w:t>分，达到220%但不足230%得</w:t>
            </w:r>
            <w:r>
              <w:rPr>
                <w:rFonts w:hint="eastAsia" w:ascii="仿宋" w:hAnsi="仿宋" w:eastAsia="仿宋" w:cs="Times New Roman"/>
                <w:color w:val="000000" w:themeColor="text1"/>
                <w:kern w:val="2"/>
                <w:sz w:val="21"/>
                <w:szCs w:val="21"/>
                <w:highlight w:val="none"/>
                <w:lang w:val="en-US" w:eastAsia="zh-CN"/>
                <w14:textFill>
                  <w14:solidFill>
                    <w14:schemeClr w14:val="tx1"/>
                  </w14:solidFill>
                </w14:textFill>
              </w:rPr>
              <w:t>4</w:t>
            </w:r>
            <w:r>
              <w:rPr>
                <w:rFonts w:hint="eastAsia" w:ascii="仿宋" w:hAnsi="仿宋" w:eastAsia="仿宋" w:cs="Times New Roman"/>
                <w:color w:val="000000" w:themeColor="text1"/>
                <w:kern w:val="2"/>
                <w:sz w:val="21"/>
                <w:szCs w:val="21"/>
                <w:highlight w:val="none"/>
                <w14:textFill>
                  <w14:solidFill>
                    <w14:schemeClr w14:val="tx1"/>
                  </w14:solidFill>
                </w14:textFill>
              </w:rPr>
              <w:t>分，达到210%但不足220%得</w:t>
            </w:r>
            <w:r>
              <w:rPr>
                <w:rFonts w:hint="eastAsia" w:ascii="仿宋" w:hAnsi="仿宋" w:eastAsia="仿宋" w:cs="Times New Roman"/>
                <w:color w:val="000000" w:themeColor="text1"/>
                <w:kern w:val="2"/>
                <w:sz w:val="21"/>
                <w:szCs w:val="21"/>
                <w:highlight w:val="none"/>
                <w:lang w:val="en-US" w:eastAsia="zh-CN"/>
                <w14:textFill>
                  <w14:solidFill>
                    <w14:schemeClr w14:val="tx1"/>
                  </w14:solidFill>
                </w14:textFill>
              </w:rPr>
              <w:t>2</w:t>
            </w:r>
            <w:r>
              <w:rPr>
                <w:rFonts w:hint="eastAsia" w:ascii="仿宋" w:hAnsi="仿宋" w:eastAsia="仿宋" w:cs="Times New Roman"/>
                <w:color w:val="000000" w:themeColor="text1"/>
                <w:kern w:val="2"/>
                <w:sz w:val="21"/>
                <w:szCs w:val="21"/>
                <w:highlight w:val="none"/>
                <w14:textFill>
                  <w14:solidFill>
                    <w14:schemeClr w14:val="tx1"/>
                  </w14:solidFill>
                </w14:textFill>
              </w:rPr>
              <w:t>分，低于210%得</w:t>
            </w:r>
            <w:r>
              <w:rPr>
                <w:rFonts w:hint="eastAsia" w:ascii="仿宋" w:hAnsi="仿宋" w:eastAsia="仿宋" w:cs="Times New Roman"/>
                <w:color w:val="000000" w:themeColor="text1"/>
                <w:kern w:val="2"/>
                <w:sz w:val="21"/>
                <w:szCs w:val="21"/>
                <w:highlight w:val="none"/>
                <w:lang w:val="en-US" w:eastAsia="zh-CN"/>
                <w14:textFill>
                  <w14:solidFill>
                    <w14:schemeClr w14:val="tx1"/>
                  </w14:solidFill>
                </w14:textFill>
              </w:rPr>
              <w:t>0</w:t>
            </w:r>
            <w:r>
              <w:rPr>
                <w:rFonts w:hint="eastAsia" w:ascii="仿宋" w:hAnsi="仿宋" w:eastAsia="仿宋" w:cs="Times New Roman"/>
                <w:color w:val="000000" w:themeColor="text1"/>
                <w:kern w:val="2"/>
                <w:sz w:val="21"/>
                <w:szCs w:val="21"/>
                <w:highlight w:val="none"/>
                <w14:textFill>
                  <w14:solidFill>
                    <w14:schemeClr w14:val="tx1"/>
                  </w14:solidFill>
                </w14:textFill>
              </w:rPr>
              <w:t>分。</w:t>
            </w:r>
          </w:p>
        </w:tc>
        <w:tc>
          <w:tcPr>
            <w:tcW w:w="2412" w:type="dxa"/>
            <w:vAlign w:val="center"/>
          </w:tcPr>
          <w:p>
            <w:pPr>
              <w:snapToGrid/>
              <w:spacing w:line="320" w:lineRule="exact"/>
              <w:ind w:firstLine="420" w:firstLineChars="0"/>
              <w:rPr>
                <w:rFonts w:hint="eastAsia" w:ascii="仿宋" w:hAnsi="仿宋" w:eastAsia="仿宋" w:cs="Times New Roman"/>
                <w:color w:val="000000" w:themeColor="text1"/>
                <w:kern w:val="2"/>
                <w:sz w:val="21"/>
                <w:szCs w:val="21"/>
                <w:highlight w:val="none"/>
                <w14:textFill>
                  <w14:solidFill>
                    <w14:schemeClr w14:val="tx1"/>
                  </w14:solidFill>
                </w14:textFill>
              </w:rPr>
            </w:pPr>
            <w:r>
              <w:rPr>
                <w:rFonts w:hint="eastAsia" w:ascii="仿宋" w:hAnsi="仿宋" w:eastAsia="仿宋" w:cs="Times New Roman"/>
                <w:color w:val="000000" w:themeColor="text1"/>
                <w:kern w:val="2"/>
                <w:sz w:val="21"/>
                <w:szCs w:val="21"/>
                <w:highlight w:val="none"/>
                <w14:textFill>
                  <w14:solidFill>
                    <w14:schemeClr w14:val="tx1"/>
                  </w14:solidFill>
                </w14:textFill>
              </w:rPr>
              <w:t>注：偿付能力是保险人履行赔偿或给付责任的能力，综合偿付能力充足率越高则表明供应商偿付能力越高。供应商需提供2023年偿付能力报告复印件。上述材料加盖供应商公章。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vAlign w:val="center"/>
          </w:tcPr>
          <w:p>
            <w:pPr>
              <w:snapToGrid/>
              <w:spacing w:line="320" w:lineRule="exact"/>
              <w:ind w:firstLine="420" w:firstLineChars="0"/>
              <w:rPr>
                <w:rFonts w:hint="eastAsia" w:ascii="仿宋" w:hAnsi="仿宋" w:eastAsia="仿宋" w:cs="Times New Roman"/>
                <w:color w:val="000000" w:themeColor="text1"/>
                <w:kern w:val="2"/>
                <w:sz w:val="21"/>
                <w:szCs w:val="21"/>
                <w:highlight w:val="none"/>
                <w14:textFill>
                  <w14:solidFill>
                    <w14:schemeClr w14:val="tx1"/>
                  </w14:solidFill>
                </w14:textFill>
              </w:rPr>
            </w:pPr>
          </w:p>
        </w:tc>
        <w:tc>
          <w:tcPr>
            <w:tcW w:w="880" w:type="dxa"/>
            <w:vMerge w:val="continue"/>
            <w:vAlign w:val="center"/>
          </w:tcPr>
          <w:p>
            <w:pPr>
              <w:snapToGrid/>
              <w:spacing w:line="320" w:lineRule="exact"/>
              <w:ind w:firstLine="420" w:firstLineChars="0"/>
              <w:rPr>
                <w:rFonts w:hint="eastAsia" w:ascii="仿宋" w:hAnsi="仿宋" w:eastAsia="仿宋" w:cs="Times New Roman"/>
                <w:color w:val="000000" w:themeColor="text1"/>
                <w:kern w:val="2"/>
                <w:sz w:val="21"/>
                <w:szCs w:val="21"/>
                <w:highlight w:val="none"/>
                <w14:textFill>
                  <w14:solidFill>
                    <w14:schemeClr w14:val="tx1"/>
                  </w14:solidFill>
                </w14:textFill>
              </w:rPr>
            </w:pPr>
          </w:p>
        </w:tc>
        <w:tc>
          <w:tcPr>
            <w:tcW w:w="1225" w:type="dxa"/>
            <w:vAlign w:val="center"/>
          </w:tcPr>
          <w:p>
            <w:pPr>
              <w:snapToGrid/>
              <w:spacing w:line="320" w:lineRule="exact"/>
              <w:jc w:val="left"/>
              <w:rPr>
                <w:rFonts w:hint="eastAsia" w:ascii="仿宋" w:hAnsi="仿宋" w:eastAsia="仿宋" w:cs="Times New Roman"/>
                <w:color w:val="000000" w:themeColor="text1"/>
                <w:kern w:val="2"/>
                <w:sz w:val="21"/>
                <w:szCs w:val="21"/>
                <w:highlight w:val="none"/>
                <w14:textFill>
                  <w14:solidFill>
                    <w14:schemeClr w14:val="tx1"/>
                  </w14:solidFill>
                </w14:textFill>
              </w:rPr>
            </w:pPr>
            <w:r>
              <w:rPr>
                <w:rFonts w:hint="eastAsia" w:ascii="仿宋" w:hAnsi="仿宋" w:eastAsia="仿宋" w:cs="Times New Roman"/>
                <w:color w:val="000000" w:themeColor="text1"/>
                <w:kern w:val="2"/>
                <w:sz w:val="21"/>
                <w:szCs w:val="21"/>
                <w:highlight w:val="none"/>
                <w14:textFill>
                  <w14:solidFill>
                    <w14:schemeClr w14:val="tx1"/>
                  </w14:solidFill>
                </w14:textFill>
              </w:rPr>
              <w:t>财产保险公司服务评价（4分）</w:t>
            </w:r>
          </w:p>
        </w:tc>
        <w:tc>
          <w:tcPr>
            <w:tcW w:w="641" w:type="dxa"/>
            <w:vAlign w:val="center"/>
          </w:tcPr>
          <w:p>
            <w:pPr>
              <w:snapToGrid/>
              <w:spacing w:line="320" w:lineRule="exact"/>
              <w:jc w:val="left"/>
              <w:rPr>
                <w:rFonts w:hint="eastAsia" w:ascii="仿宋" w:hAnsi="仿宋" w:eastAsia="仿宋" w:cs="Times New Roman"/>
                <w:color w:val="000000" w:themeColor="text1"/>
                <w:kern w:val="2"/>
                <w:sz w:val="21"/>
                <w:szCs w:val="21"/>
                <w:highlight w:val="none"/>
                <w14:textFill>
                  <w14:solidFill>
                    <w14:schemeClr w14:val="tx1"/>
                  </w14:solidFill>
                </w14:textFill>
              </w:rPr>
            </w:pPr>
            <w:r>
              <w:rPr>
                <w:rFonts w:hint="eastAsia" w:ascii="仿宋" w:hAnsi="仿宋" w:eastAsia="仿宋" w:cs="Times New Roman"/>
                <w:color w:val="000000" w:themeColor="text1"/>
                <w:kern w:val="2"/>
                <w:sz w:val="21"/>
                <w:szCs w:val="21"/>
                <w:highlight w:val="none"/>
                <w14:textFill>
                  <w14:solidFill>
                    <w14:schemeClr w14:val="tx1"/>
                  </w14:solidFill>
                </w14:textFill>
              </w:rPr>
              <w:t>4</w:t>
            </w:r>
          </w:p>
        </w:tc>
        <w:tc>
          <w:tcPr>
            <w:tcW w:w="4008" w:type="dxa"/>
            <w:vAlign w:val="center"/>
          </w:tcPr>
          <w:p>
            <w:pPr>
              <w:snapToGrid/>
              <w:spacing w:line="320" w:lineRule="exact"/>
              <w:ind w:firstLine="420" w:firstLineChars="0"/>
              <w:jc w:val="left"/>
              <w:rPr>
                <w:rFonts w:hint="eastAsia" w:ascii="仿宋" w:hAnsi="仿宋" w:eastAsia="仿宋" w:cs="Times New Roman"/>
                <w:color w:val="000000" w:themeColor="text1"/>
                <w:kern w:val="2"/>
                <w:sz w:val="21"/>
                <w:szCs w:val="21"/>
                <w:highlight w:val="none"/>
                <w14:textFill>
                  <w14:solidFill>
                    <w14:schemeClr w14:val="tx1"/>
                  </w14:solidFill>
                </w14:textFill>
              </w:rPr>
            </w:pPr>
            <w:r>
              <w:rPr>
                <w:rFonts w:hint="eastAsia" w:ascii="仿宋" w:hAnsi="仿宋" w:eastAsia="仿宋" w:cs="Times New Roman"/>
                <w:color w:val="000000" w:themeColor="text1"/>
                <w:kern w:val="2"/>
                <w:sz w:val="21"/>
                <w:szCs w:val="21"/>
                <w:highlight w:val="none"/>
                <w14:textFill>
                  <w14:solidFill>
                    <w14:schemeClr w14:val="tx1"/>
                  </w14:solidFill>
                </w14:textFill>
              </w:rPr>
              <w:t>供应商总公司获得中国银保监公布2018年财产保险公司服务评价结果：AA级（含）以上得4分，A级得2分，BBB级得1分，BBB级以下不得分。（以中国银行保险监督管理委员会网站（http://www.cbirc.gov.cn/cn/view/pages/ItemDetail.html?docId=848881&amp;itemId=925&amp;generaltype=0）以 2019 年 10 月 14 日发布的财产保险公司服务评价结果为准，打印截图加盖供应商公章。）</w:t>
            </w:r>
          </w:p>
        </w:tc>
        <w:tc>
          <w:tcPr>
            <w:tcW w:w="2412" w:type="dxa"/>
            <w:vAlign w:val="center"/>
          </w:tcPr>
          <w:p>
            <w:pPr>
              <w:snapToGrid/>
              <w:spacing w:line="320" w:lineRule="exact"/>
              <w:ind w:firstLine="420" w:firstLineChars="0"/>
              <w:rPr>
                <w:rFonts w:hint="eastAsia" w:ascii="仿宋" w:hAnsi="仿宋" w:eastAsia="仿宋" w:cs="Times New Roman"/>
                <w:color w:val="000000" w:themeColor="text1"/>
                <w:kern w:val="2"/>
                <w:sz w:val="21"/>
                <w:szCs w:val="21"/>
                <w:highlight w:val="none"/>
                <w14:textFill>
                  <w14:solidFill>
                    <w14:schemeClr w14:val="tx1"/>
                  </w14:solidFill>
                </w14:textFill>
              </w:rPr>
            </w:pPr>
            <w:r>
              <w:rPr>
                <w:rFonts w:hint="eastAsia" w:ascii="仿宋" w:hAnsi="仿宋" w:eastAsia="仿宋" w:cs="Times New Roman"/>
                <w:color w:val="000000" w:themeColor="text1"/>
                <w:kern w:val="2"/>
                <w:sz w:val="21"/>
                <w:szCs w:val="21"/>
                <w:highlight w:val="none"/>
                <w14:textFill>
                  <w14:solidFill>
                    <w14:schemeClr w14:val="tx1"/>
                  </w14:solidFill>
                </w14:textFill>
              </w:rPr>
              <w:t>反映保险主体服务综合评价，最新为2018年发布。</w:t>
            </w:r>
          </w:p>
        </w:tc>
      </w:tr>
    </w:tbl>
    <w:p>
      <w:pPr>
        <w:rPr>
          <w:highlight w:val="none"/>
        </w:rPr>
      </w:pPr>
    </w:p>
    <w:p>
      <w:pPr>
        <w:pStyle w:val="3"/>
        <w:rPr>
          <w:rFonts w:hint="eastAsia" w:ascii="宋体" w:hAnsi="宋体" w:eastAsia="宋体" w:cs="宋体"/>
          <w:highlight w:val="none"/>
        </w:rPr>
      </w:pPr>
      <w:bookmarkStart w:id="57" w:name="_Toc21425658"/>
      <w:bookmarkStart w:id="58" w:name="_Toc98942894"/>
      <w:r>
        <w:rPr>
          <w:rFonts w:hint="eastAsia"/>
          <w:highlight w:val="none"/>
        </w:rPr>
        <w:t>四、</w:t>
      </w:r>
      <w:r>
        <w:rPr>
          <w:rFonts w:hint="eastAsia" w:ascii="宋体" w:hAnsi="宋体" w:eastAsia="宋体" w:cs="宋体"/>
          <w:highlight w:val="none"/>
        </w:rPr>
        <w:t>无效投标条款</w:t>
      </w:r>
      <w:bookmarkEnd w:id="57"/>
      <w:bookmarkEnd w:id="58"/>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投标人或其</w:t>
      </w:r>
      <w:r>
        <w:rPr>
          <w:rFonts w:hint="eastAsia" w:hAnsi="宋体" w:cs="宋体"/>
          <w:sz w:val="24"/>
          <w:szCs w:val="24"/>
          <w:highlight w:val="none"/>
          <w:lang w:eastAsia="zh-CN"/>
        </w:rPr>
        <w:t>响应文件</w:t>
      </w:r>
      <w:r>
        <w:rPr>
          <w:rFonts w:hint="eastAsia" w:ascii="宋体" w:hAnsi="宋体" w:eastAsia="宋体" w:cs="宋体"/>
          <w:sz w:val="24"/>
          <w:szCs w:val="24"/>
          <w:highlight w:val="none"/>
        </w:rPr>
        <w:t>出现下列情况之一者，应为无效投标：</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（一）未按照</w:t>
      </w:r>
      <w:r>
        <w:rPr>
          <w:rFonts w:hint="eastAsia" w:hAnsi="宋体" w:cs="宋体"/>
          <w:sz w:val="24"/>
          <w:szCs w:val="24"/>
          <w:highlight w:val="none"/>
          <w:lang w:eastAsia="zh-CN"/>
        </w:rPr>
        <w:t>竞争性比选文件</w:t>
      </w:r>
      <w:r>
        <w:rPr>
          <w:rFonts w:hint="eastAsia" w:ascii="宋体" w:hAnsi="宋体" w:eastAsia="宋体" w:cs="宋体"/>
          <w:sz w:val="24"/>
          <w:szCs w:val="24"/>
          <w:highlight w:val="none"/>
        </w:rPr>
        <w:t>的规定提交投标保证金的；</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w:t>
      </w:r>
      <w:r>
        <w:rPr>
          <w:rFonts w:hint="eastAsia" w:hAnsi="宋体" w:cs="宋体"/>
          <w:sz w:val="24"/>
          <w:szCs w:val="24"/>
          <w:highlight w:val="none"/>
          <w:lang w:eastAsia="zh-CN"/>
        </w:rPr>
        <w:t>响应文件</w:t>
      </w:r>
      <w:r>
        <w:rPr>
          <w:rFonts w:hint="eastAsia" w:ascii="宋体" w:hAnsi="宋体" w:eastAsia="宋体" w:cs="宋体"/>
          <w:sz w:val="24"/>
          <w:szCs w:val="24"/>
          <w:highlight w:val="none"/>
        </w:rPr>
        <w:t>未按</w:t>
      </w:r>
      <w:r>
        <w:rPr>
          <w:rFonts w:hint="eastAsia" w:hAnsi="宋体" w:cs="宋体"/>
          <w:sz w:val="24"/>
          <w:szCs w:val="24"/>
          <w:highlight w:val="none"/>
          <w:lang w:eastAsia="zh-CN"/>
        </w:rPr>
        <w:t>竞争性比选文件</w:t>
      </w:r>
      <w:r>
        <w:rPr>
          <w:rFonts w:hint="eastAsia" w:ascii="宋体" w:hAnsi="宋体" w:eastAsia="宋体" w:cs="宋体"/>
          <w:sz w:val="24"/>
          <w:szCs w:val="24"/>
          <w:highlight w:val="none"/>
        </w:rPr>
        <w:t>要求签署、盖章的；</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（三）不具备</w:t>
      </w:r>
      <w:r>
        <w:rPr>
          <w:rFonts w:hint="eastAsia" w:hAnsi="宋体" w:cs="宋体"/>
          <w:sz w:val="24"/>
          <w:szCs w:val="24"/>
          <w:highlight w:val="none"/>
          <w:lang w:eastAsia="zh-CN"/>
        </w:rPr>
        <w:t>竞争性比选文件</w:t>
      </w:r>
      <w:r>
        <w:rPr>
          <w:rFonts w:hint="eastAsia" w:ascii="宋体" w:hAnsi="宋体" w:eastAsia="宋体" w:cs="宋体"/>
          <w:sz w:val="24"/>
          <w:szCs w:val="24"/>
          <w:highlight w:val="none"/>
        </w:rPr>
        <w:t>中规定的资格要求的；</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（四）报价超过</w:t>
      </w:r>
      <w:r>
        <w:rPr>
          <w:rFonts w:hint="eastAsia" w:hAnsi="宋体" w:cs="宋体"/>
          <w:sz w:val="24"/>
          <w:szCs w:val="24"/>
          <w:highlight w:val="none"/>
          <w:lang w:eastAsia="zh-CN"/>
        </w:rPr>
        <w:t>竞争性比选文件</w:t>
      </w:r>
      <w:r>
        <w:rPr>
          <w:rFonts w:hint="eastAsia" w:ascii="宋体" w:hAnsi="宋体" w:eastAsia="宋体" w:cs="宋体"/>
          <w:sz w:val="24"/>
          <w:szCs w:val="24"/>
          <w:highlight w:val="none"/>
        </w:rPr>
        <w:t>中规定的预算金额或者最高限价的；</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w:t>
      </w:r>
      <w:r>
        <w:rPr>
          <w:rFonts w:hint="eastAsia" w:hAnsi="宋体" w:cs="宋体"/>
          <w:sz w:val="24"/>
          <w:szCs w:val="24"/>
          <w:highlight w:val="none"/>
          <w:lang w:eastAsia="zh-CN"/>
        </w:rPr>
        <w:t>响应文件</w:t>
      </w:r>
      <w:r>
        <w:rPr>
          <w:rFonts w:hint="eastAsia" w:ascii="宋体" w:hAnsi="宋体" w:eastAsia="宋体" w:cs="宋体"/>
          <w:sz w:val="24"/>
          <w:szCs w:val="24"/>
          <w:highlight w:val="none"/>
        </w:rPr>
        <w:t>含有采购人不能接受的附加条件的；</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（六）投标人串通投标的；</w:t>
      </w:r>
    </w:p>
    <w:p>
      <w:pPr>
        <w:snapToGrid w:val="0"/>
        <w:spacing w:line="400" w:lineRule="exact"/>
        <w:ind w:firstLine="480" w:firstLineChars="200"/>
        <w:rPr>
          <w:rFonts w:hint="eastAsia" w:hAnsi="宋体" w:cs="宋体"/>
          <w:sz w:val="24"/>
          <w:szCs w:val="24"/>
          <w:highlight w:val="none"/>
          <w:lang w:eastAsia="zh-CN"/>
        </w:rPr>
      </w:pPr>
      <w:r>
        <w:rPr>
          <w:rFonts w:hint="eastAsia" w:hAnsi="宋体" w:cs="宋体"/>
          <w:sz w:val="24"/>
          <w:szCs w:val="24"/>
          <w:highlight w:val="none"/>
          <w:lang w:eastAsia="zh-CN"/>
        </w:rPr>
        <w:t>（七）投标人组成联合体投标的；</w:t>
      </w:r>
    </w:p>
    <w:p>
      <w:pPr>
        <w:snapToGrid w:val="0"/>
        <w:spacing w:line="400" w:lineRule="exact"/>
        <w:ind w:firstLine="480" w:firstLineChars="200"/>
        <w:rPr>
          <w:rFonts w:hint="eastAsia" w:hAnsi="宋体" w:cs="宋体"/>
          <w:sz w:val="24"/>
          <w:szCs w:val="24"/>
          <w:highlight w:val="none"/>
          <w:lang w:eastAsia="zh-CN"/>
        </w:rPr>
      </w:pPr>
      <w:r>
        <w:rPr>
          <w:rFonts w:hint="eastAsia" w:hAnsi="宋体" w:cs="宋体"/>
          <w:sz w:val="24"/>
          <w:szCs w:val="24"/>
          <w:highlight w:val="none"/>
          <w:lang w:eastAsia="zh-CN"/>
        </w:rPr>
        <w:t>（八）法律、法规和竞争性比选文件规定的其他无效情形。</w:t>
      </w:r>
    </w:p>
    <w:p>
      <w:pPr>
        <w:pStyle w:val="3"/>
        <w:rPr>
          <w:rFonts w:hint="eastAsia" w:ascii="宋体" w:hAnsi="宋体" w:eastAsia="宋体" w:cs="宋体"/>
          <w:highlight w:val="none"/>
        </w:rPr>
      </w:pPr>
      <w:bookmarkStart w:id="59" w:name="_Toc98942895"/>
      <w:bookmarkStart w:id="60" w:name="_Toc21425659"/>
      <w:r>
        <w:rPr>
          <w:rFonts w:hint="eastAsia" w:ascii="宋体" w:hAnsi="宋体" w:eastAsia="宋体" w:cs="宋体"/>
          <w:highlight w:val="none"/>
        </w:rPr>
        <w:t>五、废标条款</w:t>
      </w:r>
      <w:bookmarkEnd w:id="59"/>
      <w:bookmarkEnd w:id="60"/>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评标委员会评审时出现以下情况之一的，应予废标：</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（一）符合专业条件的投标人或者对</w:t>
      </w:r>
      <w:r>
        <w:rPr>
          <w:rFonts w:hint="eastAsia" w:hAnsi="宋体" w:cs="宋体"/>
          <w:sz w:val="24"/>
          <w:szCs w:val="24"/>
          <w:highlight w:val="none"/>
          <w:lang w:eastAsia="zh-CN"/>
        </w:rPr>
        <w:t>竞争性比选文件</w:t>
      </w:r>
      <w:r>
        <w:rPr>
          <w:rFonts w:hint="eastAsia" w:ascii="宋体" w:hAnsi="宋体" w:eastAsia="宋体" w:cs="宋体"/>
          <w:sz w:val="24"/>
          <w:szCs w:val="24"/>
          <w:highlight w:val="none"/>
        </w:rPr>
        <w:t>作实质响应的投标人不足三家的；</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（二）投标人的报价均超过了采购预算，采购人不能支付的；</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（三）出现影响采购公正的违法、违规行为的；</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（四）因重大变故，采购任务取消的。</w:t>
      </w:r>
    </w:p>
    <w:p>
      <w:pPr>
        <w:snapToGrid w:val="0"/>
        <w:spacing w:line="400" w:lineRule="exact"/>
        <w:ind w:firstLine="480" w:firstLineChars="200"/>
        <w:rPr>
          <w:rFonts w:ascii="方正仿宋_GBK" w:hAnsi="宋体" w:eastAsia="方正仿宋_GBK"/>
          <w:sz w:val="24"/>
          <w:szCs w:val="24"/>
          <w:highlight w:val="none"/>
        </w:rPr>
      </w:pPr>
      <w:r>
        <w:rPr>
          <w:rFonts w:hint="eastAsia" w:ascii="宋体" w:hAnsi="宋体" w:eastAsia="宋体" w:cs="宋体"/>
          <w:sz w:val="24"/>
          <w:szCs w:val="24"/>
          <w:highlight w:val="none"/>
        </w:rPr>
        <w:t>废标后，除采购任务取消情形外，应当重新组织采购。</w:t>
      </w:r>
    </w:p>
    <w:p>
      <w:pPr>
        <w:rPr>
          <w:rFonts w:hint="eastAsia" w:ascii="宋体" w:hAnsi="宋体" w:eastAsia="宋体"/>
          <w:b w:val="0"/>
          <w:highlight w:val="none"/>
        </w:rPr>
      </w:pPr>
      <w:bookmarkStart w:id="61" w:name="_Toc21425660"/>
      <w:bookmarkStart w:id="62" w:name="_Toc98942896"/>
      <w:r>
        <w:rPr>
          <w:rFonts w:hint="eastAsia" w:ascii="宋体" w:hAnsi="宋体" w:eastAsia="宋体"/>
          <w:b w:val="0"/>
          <w:highlight w:val="none"/>
        </w:rPr>
        <w:br w:type="page"/>
      </w:r>
    </w:p>
    <w:p>
      <w:pPr>
        <w:pStyle w:val="2"/>
        <w:tabs>
          <w:tab w:val="left" w:pos="3360"/>
        </w:tabs>
        <w:spacing w:line="360" w:lineRule="auto"/>
        <w:rPr>
          <w:rFonts w:ascii="宋体" w:hAnsi="宋体" w:eastAsia="宋体"/>
          <w:b w:val="0"/>
          <w:highlight w:val="none"/>
        </w:rPr>
      </w:pPr>
      <w:r>
        <w:rPr>
          <w:rFonts w:hint="eastAsia" w:ascii="宋体" w:hAnsi="宋体" w:eastAsia="宋体"/>
          <w:b w:val="0"/>
          <w:highlight w:val="none"/>
        </w:rPr>
        <w:t>第五篇  投标人须知</w:t>
      </w:r>
      <w:bookmarkEnd w:id="61"/>
      <w:bookmarkEnd w:id="62"/>
    </w:p>
    <w:p>
      <w:pPr>
        <w:pStyle w:val="3"/>
        <w:rPr>
          <w:rFonts w:hint="eastAsia" w:ascii="宋体" w:hAnsi="宋体" w:eastAsia="宋体" w:cs="宋体"/>
          <w:highlight w:val="none"/>
        </w:rPr>
      </w:pPr>
      <w:bookmarkStart w:id="63" w:name="_Toc98942897"/>
      <w:bookmarkStart w:id="64" w:name="_Toc21425661"/>
      <w:r>
        <w:rPr>
          <w:rFonts w:hint="eastAsia"/>
          <w:highlight w:val="none"/>
        </w:rPr>
        <w:t>一、</w:t>
      </w:r>
      <w:r>
        <w:rPr>
          <w:rFonts w:hint="eastAsia" w:ascii="宋体" w:hAnsi="宋体" w:eastAsia="宋体" w:cs="宋体"/>
          <w:highlight w:val="none"/>
        </w:rPr>
        <w:t>投标人</w:t>
      </w:r>
      <w:bookmarkEnd w:id="63"/>
      <w:bookmarkEnd w:id="64"/>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（一）投标人</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投标人是指响应招标、参加投标竞争的法人、其他组织或者自然人。</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（二）合格投标人条件</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合格投标人应完全符合</w:t>
      </w:r>
      <w:r>
        <w:rPr>
          <w:rFonts w:hint="eastAsia" w:hAnsi="宋体" w:cs="宋体"/>
          <w:sz w:val="24"/>
          <w:highlight w:val="none"/>
          <w:lang w:eastAsia="zh-CN"/>
        </w:rPr>
        <w:t>竞争性比选文件</w:t>
      </w:r>
      <w:r>
        <w:rPr>
          <w:rFonts w:hint="eastAsia" w:ascii="宋体" w:hAnsi="宋体" w:eastAsia="宋体" w:cs="宋体"/>
          <w:sz w:val="24"/>
          <w:highlight w:val="none"/>
        </w:rPr>
        <w:t>第一篇中规定的投标人资格条件，并对</w:t>
      </w:r>
      <w:r>
        <w:rPr>
          <w:rFonts w:hint="eastAsia" w:hAnsi="宋体" w:cs="宋体"/>
          <w:sz w:val="24"/>
          <w:highlight w:val="none"/>
          <w:lang w:eastAsia="zh-CN"/>
        </w:rPr>
        <w:t>竞争性比选文件</w:t>
      </w:r>
      <w:r>
        <w:rPr>
          <w:rFonts w:hint="eastAsia" w:ascii="宋体" w:hAnsi="宋体" w:eastAsia="宋体" w:cs="宋体"/>
          <w:sz w:val="24"/>
          <w:highlight w:val="none"/>
        </w:rPr>
        <w:t>作出实质性响应。</w:t>
      </w:r>
    </w:p>
    <w:p>
      <w:pPr>
        <w:snapToGrid w:val="0"/>
        <w:spacing w:line="400" w:lineRule="exact"/>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rPr>
        <w:t>（三）投标人的风险</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投标人没有按照</w:t>
      </w:r>
      <w:r>
        <w:rPr>
          <w:rFonts w:hint="eastAsia" w:hAnsi="宋体" w:cs="宋体"/>
          <w:sz w:val="24"/>
          <w:highlight w:val="none"/>
          <w:lang w:eastAsia="zh-CN"/>
        </w:rPr>
        <w:t>竞争性比选文件</w:t>
      </w:r>
      <w:r>
        <w:rPr>
          <w:rFonts w:hint="eastAsia" w:ascii="宋体" w:hAnsi="宋体" w:eastAsia="宋体" w:cs="宋体"/>
          <w:sz w:val="24"/>
          <w:highlight w:val="none"/>
        </w:rPr>
        <w:t>要求提供全部资料，或者投标人没有对</w:t>
      </w:r>
      <w:r>
        <w:rPr>
          <w:rFonts w:hint="eastAsia" w:hAnsi="宋体" w:cs="宋体"/>
          <w:sz w:val="24"/>
          <w:highlight w:val="none"/>
          <w:lang w:eastAsia="zh-CN"/>
        </w:rPr>
        <w:t>竞争性比选文件</w:t>
      </w:r>
      <w:r>
        <w:rPr>
          <w:rFonts w:hint="eastAsia" w:ascii="宋体" w:hAnsi="宋体" w:eastAsia="宋体" w:cs="宋体"/>
          <w:sz w:val="24"/>
          <w:highlight w:val="none"/>
        </w:rPr>
        <w:t>在各方面作出实质性响应，可能导致投标被拒绝或评定为无效投标。</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（四）法律责任</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投标人违反《中华人民共和国政府采购法》、《中华人民共和国政府采购实施条例》等相关规定，将按规定追究投标人法律责任。</w:t>
      </w:r>
    </w:p>
    <w:p>
      <w:pPr>
        <w:pStyle w:val="3"/>
        <w:rPr>
          <w:rFonts w:hint="eastAsia" w:ascii="宋体" w:hAnsi="宋体" w:eastAsia="宋体" w:cs="宋体"/>
          <w:highlight w:val="none"/>
          <w:lang w:eastAsia="zh-CN"/>
        </w:rPr>
      </w:pPr>
      <w:bookmarkStart w:id="65" w:name="_Toc21425662"/>
      <w:bookmarkStart w:id="66" w:name="_Toc98942898"/>
      <w:r>
        <w:rPr>
          <w:rFonts w:hint="eastAsia" w:ascii="宋体" w:hAnsi="宋体" w:eastAsia="宋体" w:cs="宋体"/>
          <w:highlight w:val="none"/>
        </w:rPr>
        <w:t>二、</w:t>
      </w:r>
      <w:bookmarkEnd w:id="65"/>
      <w:bookmarkEnd w:id="66"/>
      <w:r>
        <w:rPr>
          <w:rFonts w:hint="eastAsia" w:ascii="宋体" w:hAnsi="宋体" w:cs="宋体"/>
          <w:highlight w:val="none"/>
          <w:lang w:eastAsia="zh-CN"/>
        </w:rPr>
        <w:t>竞争性比选文件</w:t>
      </w:r>
    </w:p>
    <w:p>
      <w:pPr>
        <w:snapToGrid w:val="0"/>
        <w:spacing w:line="400" w:lineRule="exact"/>
        <w:ind w:firstLine="480" w:firstLineChars="200"/>
        <w:rPr>
          <w:rFonts w:hint="eastAsia" w:ascii="宋体" w:hAnsi="宋体" w:eastAsia="宋体" w:cs="宋体"/>
          <w:sz w:val="24"/>
          <w:highlight w:val="none"/>
        </w:rPr>
      </w:pPr>
      <w:r>
        <w:rPr>
          <w:rFonts w:hint="eastAsia" w:hAnsi="宋体" w:cs="宋体"/>
          <w:sz w:val="24"/>
          <w:highlight w:val="none"/>
          <w:lang w:eastAsia="zh-CN"/>
        </w:rPr>
        <w:t>竞争性比选文件</w:t>
      </w:r>
      <w:r>
        <w:rPr>
          <w:rFonts w:hint="eastAsia" w:ascii="宋体" w:hAnsi="宋体" w:eastAsia="宋体" w:cs="宋体"/>
          <w:sz w:val="24"/>
          <w:highlight w:val="none"/>
        </w:rPr>
        <w:t>是投标人编制</w:t>
      </w:r>
      <w:r>
        <w:rPr>
          <w:rFonts w:hint="eastAsia" w:hAnsi="宋体" w:cs="宋体"/>
          <w:sz w:val="24"/>
          <w:highlight w:val="none"/>
          <w:lang w:eastAsia="zh-CN"/>
        </w:rPr>
        <w:t>响应文件</w:t>
      </w:r>
      <w:r>
        <w:rPr>
          <w:rFonts w:hint="eastAsia" w:ascii="宋体" w:hAnsi="宋体" w:eastAsia="宋体" w:cs="宋体"/>
          <w:sz w:val="24"/>
          <w:highlight w:val="none"/>
        </w:rPr>
        <w:t>的依据，是评标委员会评判依据和标准。</w:t>
      </w:r>
      <w:r>
        <w:rPr>
          <w:rFonts w:hint="eastAsia" w:hAnsi="宋体" w:cs="宋体"/>
          <w:sz w:val="24"/>
          <w:highlight w:val="none"/>
          <w:lang w:eastAsia="zh-CN"/>
        </w:rPr>
        <w:t>竞争性比选文件</w:t>
      </w:r>
      <w:r>
        <w:rPr>
          <w:rFonts w:hint="eastAsia" w:ascii="宋体" w:hAnsi="宋体" w:eastAsia="宋体" w:cs="宋体"/>
          <w:sz w:val="24"/>
          <w:highlight w:val="none"/>
        </w:rPr>
        <w:t>也是采购人与中标人签订合同的基础。</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（一）</w:t>
      </w:r>
      <w:r>
        <w:rPr>
          <w:rFonts w:hint="eastAsia" w:hAnsi="宋体" w:cs="宋体"/>
          <w:sz w:val="24"/>
          <w:highlight w:val="none"/>
          <w:lang w:eastAsia="zh-CN"/>
        </w:rPr>
        <w:t>竞争性比选文件</w:t>
      </w:r>
      <w:r>
        <w:rPr>
          <w:rFonts w:hint="eastAsia" w:ascii="宋体" w:hAnsi="宋体" w:eastAsia="宋体" w:cs="宋体"/>
          <w:sz w:val="24"/>
          <w:highlight w:val="none"/>
        </w:rPr>
        <w:t>由投标邀请书；项目技术规格、数量及质量要求；商务条款；投标人须知；评标方法、评标标准、无效投标条款和废标条款；</w:t>
      </w:r>
      <w:r>
        <w:rPr>
          <w:rFonts w:hint="eastAsia" w:hAnsi="宋体" w:cs="宋体"/>
          <w:sz w:val="24"/>
          <w:highlight w:val="none"/>
          <w:lang w:eastAsia="zh-CN"/>
        </w:rPr>
        <w:t>响应文件</w:t>
      </w:r>
      <w:r>
        <w:rPr>
          <w:rFonts w:hint="eastAsia" w:ascii="宋体" w:hAnsi="宋体" w:eastAsia="宋体" w:cs="宋体"/>
          <w:sz w:val="24"/>
          <w:highlight w:val="none"/>
        </w:rPr>
        <w:t>格式等部分组成。</w:t>
      </w:r>
    </w:p>
    <w:p>
      <w:pPr>
        <w:snapToGrid w:val="0"/>
        <w:spacing w:line="400" w:lineRule="exact"/>
        <w:ind w:firstLine="480"/>
        <w:rPr>
          <w:rFonts w:hint="eastAsia" w:ascii="宋体" w:hAnsi="宋体" w:eastAsia="宋体" w:cs="宋体"/>
          <w:sz w:val="24"/>
          <w:highlight w:val="none"/>
        </w:rPr>
      </w:pPr>
      <w:r>
        <w:rPr>
          <w:rFonts w:hint="eastAsia" w:ascii="宋体" w:hAnsi="宋体" w:eastAsia="宋体" w:cs="宋体"/>
          <w:sz w:val="24"/>
          <w:szCs w:val="28"/>
          <w:highlight w:val="none"/>
        </w:rPr>
        <w:t>（二）</w:t>
      </w:r>
      <w:r>
        <w:rPr>
          <w:rFonts w:hint="eastAsia" w:ascii="宋体" w:hAnsi="宋体" w:eastAsia="宋体" w:cs="宋体"/>
          <w:sz w:val="24"/>
          <w:highlight w:val="none"/>
        </w:rPr>
        <w:t>采购人对</w:t>
      </w:r>
      <w:r>
        <w:rPr>
          <w:rFonts w:hint="eastAsia" w:hAnsi="宋体" w:cs="宋体"/>
          <w:sz w:val="24"/>
          <w:highlight w:val="none"/>
          <w:lang w:eastAsia="zh-CN"/>
        </w:rPr>
        <w:t>竞争性比选文件</w:t>
      </w:r>
      <w:r>
        <w:rPr>
          <w:rFonts w:hint="eastAsia" w:ascii="宋体" w:hAnsi="宋体" w:eastAsia="宋体" w:cs="宋体"/>
          <w:sz w:val="24"/>
          <w:highlight w:val="none"/>
        </w:rPr>
        <w:t>所作的一切有效的书面通知、修改及补充，都是</w:t>
      </w:r>
      <w:r>
        <w:rPr>
          <w:rFonts w:hint="eastAsia" w:hAnsi="宋体" w:cs="宋体"/>
          <w:sz w:val="24"/>
          <w:highlight w:val="none"/>
          <w:lang w:eastAsia="zh-CN"/>
        </w:rPr>
        <w:t>竞争性比选文件</w:t>
      </w:r>
      <w:r>
        <w:rPr>
          <w:rFonts w:hint="eastAsia" w:ascii="宋体" w:hAnsi="宋体" w:eastAsia="宋体" w:cs="宋体"/>
          <w:sz w:val="24"/>
          <w:highlight w:val="none"/>
        </w:rPr>
        <w:t>不可分割的部分。</w:t>
      </w:r>
    </w:p>
    <w:p>
      <w:pPr>
        <w:snapToGrid w:val="0"/>
        <w:spacing w:line="400" w:lineRule="exact"/>
        <w:ind w:firstLine="480"/>
        <w:rPr>
          <w:rFonts w:hint="eastAsia" w:ascii="宋体" w:hAnsi="宋体" w:eastAsia="宋体" w:cs="宋体"/>
          <w:sz w:val="24"/>
          <w:highlight w:val="none"/>
        </w:rPr>
      </w:pPr>
      <w:r>
        <w:rPr>
          <w:rFonts w:hint="eastAsia" w:ascii="宋体" w:hAnsi="宋体" w:eastAsia="宋体" w:cs="宋体"/>
          <w:sz w:val="24"/>
          <w:highlight w:val="none"/>
        </w:rPr>
        <w:t>（三）</w:t>
      </w:r>
      <w:r>
        <w:rPr>
          <w:rFonts w:hint="eastAsia" w:ascii="宋体" w:hAnsi="宋体" w:eastAsia="宋体" w:cs="宋体"/>
          <w:sz w:val="24"/>
          <w:szCs w:val="24"/>
          <w:highlight w:val="none"/>
        </w:rPr>
        <w:t>本项目的</w:t>
      </w:r>
      <w:r>
        <w:rPr>
          <w:rFonts w:hint="eastAsia" w:hAnsi="宋体" w:cs="宋体"/>
          <w:sz w:val="24"/>
          <w:szCs w:val="24"/>
          <w:highlight w:val="none"/>
          <w:lang w:eastAsia="zh-CN"/>
        </w:rPr>
        <w:t>竞争性比选文件</w:t>
      </w:r>
      <w:r>
        <w:rPr>
          <w:rFonts w:hint="eastAsia" w:ascii="宋体" w:hAnsi="宋体" w:eastAsia="宋体" w:cs="宋体"/>
          <w:sz w:val="24"/>
          <w:szCs w:val="24"/>
          <w:highlight w:val="none"/>
        </w:rPr>
        <w:t>、补遗文件（如果有）一律在重庆医科大学附属口腔医院官网、行采家、中国采购招标网上发布，请各投标人注意下载领取；无论投标人下载或领取与否，均视同投标人已知晓本项目</w:t>
      </w:r>
      <w:r>
        <w:rPr>
          <w:rFonts w:hint="eastAsia" w:hAnsi="宋体" w:cs="宋体"/>
          <w:sz w:val="24"/>
          <w:szCs w:val="24"/>
          <w:highlight w:val="none"/>
          <w:lang w:eastAsia="zh-CN"/>
        </w:rPr>
        <w:t>竞争性比选文件</w:t>
      </w:r>
      <w:r>
        <w:rPr>
          <w:rFonts w:hint="eastAsia" w:ascii="宋体" w:hAnsi="宋体" w:eastAsia="宋体" w:cs="宋体"/>
          <w:sz w:val="24"/>
          <w:szCs w:val="24"/>
          <w:highlight w:val="none"/>
        </w:rPr>
        <w:t>、补遗文件的内容。</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（四）采购人对已发出的</w:t>
      </w:r>
      <w:r>
        <w:rPr>
          <w:rFonts w:hint="eastAsia" w:hAnsi="宋体" w:cs="宋体"/>
          <w:sz w:val="24"/>
          <w:highlight w:val="none"/>
          <w:lang w:eastAsia="zh-CN"/>
        </w:rPr>
        <w:t>竞争性比选文件</w:t>
      </w:r>
      <w:r>
        <w:rPr>
          <w:rFonts w:hint="eastAsia" w:ascii="宋体" w:hAnsi="宋体" w:eastAsia="宋体" w:cs="宋体"/>
          <w:sz w:val="24"/>
          <w:highlight w:val="none"/>
        </w:rPr>
        <w:t>需要进行澄清或修改的，应以书面形式或公告形式通知所有</w:t>
      </w:r>
      <w:r>
        <w:rPr>
          <w:rFonts w:hint="eastAsia" w:hAnsi="宋体" w:cs="宋体"/>
          <w:sz w:val="24"/>
          <w:highlight w:val="none"/>
          <w:lang w:eastAsia="zh-CN"/>
        </w:rPr>
        <w:t>竞争性比选文件</w:t>
      </w:r>
      <w:r>
        <w:rPr>
          <w:rFonts w:hint="eastAsia" w:ascii="宋体" w:hAnsi="宋体" w:eastAsia="宋体" w:cs="宋体"/>
          <w:sz w:val="24"/>
          <w:highlight w:val="none"/>
        </w:rPr>
        <w:t>收受人。该澄清或者修改的内容为</w:t>
      </w:r>
      <w:r>
        <w:rPr>
          <w:rFonts w:hint="eastAsia" w:hAnsi="宋体" w:cs="宋体"/>
          <w:sz w:val="24"/>
          <w:highlight w:val="none"/>
          <w:lang w:eastAsia="zh-CN"/>
        </w:rPr>
        <w:t>竞争性比选文件</w:t>
      </w:r>
      <w:r>
        <w:rPr>
          <w:rFonts w:hint="eastAsia" w:ascii="宋体" w:hAnsi="宋体" w:eastAsia="宋体" w:cs="宋体"/>
          <w:sz w:val="24"/>
          <w:highlight w:val="none"/>
        </w:rPr>
        <w:t>的组成部分。</w:t>
      </w:r>
    </w:p>
    <w:p>
      <w:pPr>
        <w:pStyle w:val="3"/>
        <w:rPr>
          <w:rFonts w:hint="eastAsia" w:ascii="宋体" w:hAnsi="宋体" w:eastAsia="宋体" w:cs="宋体"/>
          <w:highlight w:val="none"/>
          <w:lang w:eastAsia="zh-CN"/>
        </w:rPr>
      </w:pPr>
      <w:bookmarkStart w:id="67" w:name="_Toc21425663"/>
      <w:bookmarkStart w:id="68" w:name="_Toc98942899"/>
      <w:r>
        <w:rPr>
          <w:rFonts w:hint="eastAsia" w:ascii="宋体" w:hAnsi="宋体" w:eastAsia="宋体" w:cs="宋体"/>
          <w:highlight w:val="none"/>
        </w:rPr>
        <w:t>三、</w:t>
      </w:r>
      <w:bookmarkEnd w:id="67"/>
      <w:bookmarkEnd w:id="68"/>
      <w:r>
        <w:rPr>
          <w:rFonts w:hint="eastAsia" w:ascii="宋体" w:hAnsi="宋体" w:cs="宋体"/>
          <w:highlight w:val="none"/>
          <w:lang w:eastAsia="zh-CN"/>
        </w:rPr>
        <w:t>响应文件</w:t>
      </w:r>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投标人应当按照</w:t>
      </w:r>
      <w:r>
        <w:rPr>
          <w:rFonts w:hint="eastAsia" w:hAnsi="宋体" w:cs="宋体"/>
          <w:sz w:val="24"/>
          <w:highlight w:val="none"/>
          <w:lang w:eastAsia="zh-CN"/>
        </w:rPr>
        <w:t>竞争性比选文件</w:t>
      </w:r>
      <w:r>
        <w:rPr>
          <w:rFonts w:hint="eastAsia" w:ascii="宋体" w:hAnsi="宋体" w:eastAsia="宋体" w:cs="宋体"/>
          <w:sz w:val="24"/>
          <w:highlight w:val="none"/>
        </w:rPr>
        <w:t>的要求编制</w:t>
      </w:r>
      <w:r>
        <w:rPr>
          <w:rFonts w:hint="eastAsia" w:hAnsi="宋体" w:cs="宋体"/>
          <w:sz w:val="24"/>
          <w:highlight w:val="none"/>
          <w:lang w:eastAsia="zh-CN"/>
        </w:rPr>
        <w:t>响应文件</w:t>
      </w:r>
      <w:r>
        <w:rPr>
          <w:rFonts w:hint="eastAsia" w:ascii="宋体" w:hAnsi="宋体" w:eastAsia="宋体" w:cs="宋体"/>
          <w:sz w:val="24"/>
          <w:highlight w:val="none"/>
        </w:rPr>
        <w:t>，并对</w:t>
      </w:r>
      <w:r>
        <w:rPr>
          <w:rFonts w:hint="eastAsia" w:hAnsi="宋体" w:cs="宋体"/>
          <w:sz w:val="24"/>
          <w:highlight w:val="none"/>
          <w:lang w:eastAsia="zh-CN"/>
        </w:rPr>
        <w:t>竞争性比选文件</w:t>
      </w:r>
      <w:r>
        <w:rPr>
          <w:rFonts w:hint="eastAsia" w:ascii="宋体" w:hAnsi="宋体" w:eastAsia="宋体" w:cs="宋体"/>
          <w:sz w:val="24"/>
          <w:highlight w:val="none"/>
        </w:rPr>
        <w:t>提出的要求和条件作出实质性响应，</w:t>
      </w:r>
      <w:r>
        <w:rPr>
          <w:rFonts w:hint="eastAsia" w:hAnsi="宋体" w:cs="宋体"/>
          <w:highlight w:val="none"/>
          <w:lang w:eastAsia="zh-CN"/>
        </w:rPr>
        <w:t>响应文件</w:t>
      </w:r>
      <w:r>
        <w:rPr>
          <w:rFonts w:hint="eastAsia" w:ascii="宋体" w:hAnsi="宋体" w:eastAsia="宋体" w:cs="宋体"/>
          <w:highlight w:val="none"/>
        </w:rPr>
        <w:t>原则上采用软面胶装（不得采用穿孔式、文件夹式活页装订），同时应编制完整的封面、页码、目录。</w:t>
      </w:r>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（一）</w:t>
      </w:r>
      <w:r>
        <w:rPr>
          <w:rFonts w:hint="eastAsia" w:hAnsi="宋体" w:cs="宋体"/>
          <w:sz w:val="24"/>
          <w:highlight w:val="none"/>
          <w:lang w:eastAsia="zh-CN"/>
        </w:rPr>
        <w:t>响应文件</w:t>
      </w:r>
      <w:r>
        <w:rPr>
          <w:rFonts w:hint="eastAsia" w:ascii="宋体" w:hAnsi="宋体" w:eastAsia="宋体" w:cs="宋体"/>
          <w:sz w:val="24"/>
          <w:highlight w:val="none"/>
        </w:rPr>
        <w:t>组成</w:t>
      </w:r>
    </w:p>
    <w:p>
      <w:pPr>
        <w:spacing w:line="400" w:lineRule="exact"/>
        <w:ind w:firstLine="480" w:firstLineChars="200"/>
        <w:rPr>
          <w:rFonts w:hint="eastAsia" w:ascii="宋体" w:hAnsi="宋体" w:eastAsia="宋体" w:cs="宋体"/>
          <w:sz w:val="24"/>
          <w:highlight w:val="none"/>
        </w:rPr>
      </w:pPr>
      <w:r>
        <w:rPr>
          <w:rFonts w:hint="eastAsia" w:hAnsi="宋体" w:cs="宋体"/>
          <w:sz w:val="24"/>
          <w:highlight w:val="none"/>
          <w:lang w:eastAsia="zh-CN"/>
        </w:rPr>
        <w:t>响应文件</w:t>
      </w:r>
      <w:r>
        <w:rPr>
          <w:rFonts w:hint="eastAsia" w:ascii="宋体" w:hAnsi="宋体" w:eastAsia="宋体" w:cs="宋体"/>
          <w:sz w:val="24"/>
          <w:highlight w:val="none"/>
        </w:rPr>
        <w:t>由第</w:t>
      </w:r>
      <w:r>
        <w:rPr>
          <w:rFonts w:hint="eastAsia" w:ascii="宋体" w:hAnsi="宋体" w:eastAsia="宋体" w:cs="宋体"/>
          <w:sz w:val="24"/>
          <w:highlight w:val="none"/>
          <w:lang w:eastAsia="zh-CN"/>
        </w:rPr>
        <w:t>六</w:t>
      </w:r>
      <w:r>
        <w:rPr>
          <w:rFonts w:hint="eastAsia" w:ascii="宋体" w:hAnsi="宋体" w:eastAsia="宋体" w:cs="宋体"/>
          <w:sz w:val="24"/>
          <w:highlight w:val="none"/>
        </w:rPr>
        <w:t>篇“</w:t>
      </w:r>
      <w:r>
        <w:rPr>
          <w:rFonts w:hint="eastAsia" w:hAnsi="宋体" w:cs="宋体"/>
          <w:sz w:val="24"/>
          <w:highlight w:val="none"/>
          <w:lang w:eastAsia="zh-CN"/>
        </w:rPr>
        <w:t>响应文件</w:t>
      </w:r>
      <w:r>
        <w:rPr>
          <w:rFonts w:hint="eastAsia" w:ascii="宋体" w:hAnsi="宋体" w:eastAsia="宋体" w:cs="宋体"/>
          <w:sz w:val="24"/>
          <w:highlight w:val="none"/>
        </w:rPr>
        <w:t>格式”规定的部分和投标人所作的一切有效补充、修改和承诺等文件组成，投标人应按照第</w:t>
      </w:r>
      <w:r>
        <w:rPr>
          <w:rFonts w:hint="eastAsia" w:ascii="宋体" w:hAnsi="宋体" w:eastAsia="宋体" w:cs="宋体"/>
          <w:sz w:val="24"/>
          <w:highlight w:val="none"/>
          <w:lang w:eastAsia="zh-CN"/>
        </w:rPr>
        <w:t>六</w:t>
      </w:r>
      <w:r>
        <w:rPr>
          <w:rFonts w:hint="eastAsia" w:ascii="宋体" w:hAnsi="宋体" w:eastAsia="宋体" w:cs="宋体"/>
          <w:sz w:val="24"/>
          <w:highlight w:val="none"/>
        </w:rPr>
        <w:t>篇“</w:t>
      </w:r>
      <w:r>
        <w:rPr>
          <w:rFonts w:hint="eastAsia" w:hAnsi="宋体" w:cs="宋体"/>
          <w:sz w:val="24"/>
          <w:highlight w:val="none"/>
          <w:lang w:eastAsia="zh-CN"/>
        </w:rPr>
        <w:t>响应文件</w:t>
      </w:r>
      <w:r>
        <w:rPr>
          <w:rFonts w:hint="eastAsia" w:ascii="宋体" w:hAnsi="宋体" w:eastAsia="宋体" w:cs="宋体"/>
          <w:sz w:val="24"/>
          <w:highlight w:val="none"/>
        </w:rPr>
        <w:t>格式”规定的目录顺序组织编写和装订，否则有可能影响评委对</w:t>
      </w:r>
      <w:r>
        <w:rPr>
          <w:rFonts w:hint="eastAsia" w:hAnsi="宋体" w:cs="宋体"/>
          <w:sz w:val="24"/>
          <w:highlight w:val="none"/>
          <w:lang w:eastAsia="zh-CN"/>
        </w:rPr>
        <w:t>响应文件</w:t>
      </w:r>
      <w:r>
        <w:rPr>
          <w:rFonts w:hint="eastAsia" w:ascii="宋体" w:hAnsi="宋体" w:eastAsia="宋体" w:cs="宋体"/>
          <w:sz w:val="24"/>
          <w:highlight w:val="none"/>
        </w:rPr>
        <w:t>的评审。</w:t>
      </w:r>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（二）投标有效期</w:t>
      </w:r>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投标有效期为投标截止日期起九十天内。</w:t>
      </w:r>
    </w:p>
    <w:p>
      <w:pPr>
        <w:snapToGrid w:val="0"/>
        <w:spacing w:line="40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（四）</w:t>
      </w:r>
      <w:r>
        <w:rPr>
          <w:rFonts w:hint="eastAsia" w:hAnsi="宋体" w:cs="宋体"/>
          <w:bCs/>
          <w:sz w:val="24"/>
          <w:highlight w:val="none"/>
          <w:lang w:eastAsia="zh-CN"/>
        </w:rPr>
        <w:t>响应文件</w:t>
      </w:r>
      <w:r>
        <w:rPr>
          <w:rFonts w:hint="eastAsia" w:ascii="宋体" w:hAnsi="宋体" w:eastAsia="宋体" w:cs="宋体"/>
          <w:bCs/>
          <w:sz w:val="24"/>
          <w:highlight w:val="none"/>
        </w:rPr>
        <w:t>的份数和签署</w:t>
      </w:r>
    </w:p>
    <w:p>
      <w:pPr>
        <w:tabs>
          <w:tab w:val="left" w:pos="0"/>
        </w:tabs>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hAnsi="宋体" w:cs="宋体"/>
          <w:sz w:val="24"/>
          <w:highlight w:val="none"/>
          <w:lang w:eastAsia="zh-CN"/>
        </w:rPr>
        <w:t>响应文件</w:t>
      </w:r>
      <w:r>
        <w:rPr>
          <w:rFonts w:hint="eastAsia" w:ascii="宋体" w:hAnsi="宋体" w:eastAsia="宋体" w:cs="宋体"/>
          <w:sz w:val="24"/>
          <w:highlight w:val="none"/>
        </w:rPr>
        <w:t>一式二份，其中正本一份，副本一份。每套纸质</w:t>
      </w:r>
      <w:r>
        <w:rPr>
          <w:rFonts w:hint="eastAsia" w:hAnsi="宋体" w:cs="宋体"/>
          <w:sz w:val="24"/>
          <w:highlight w:val="none"/>
          <w:lang w:eastAsia="zh-CN"/>
        </w:rPr>
        <w:t>响应文件</w:t>
      </w:r>
      <w:r>
        <w:rPr>
          <w:rFonts w:hint="eastAsia" w:ascii="宋体" w:hAnsi="宋体" w:eastAsia="宋体" w:cs="宋体"/>
          <w:sz w:val="24"/>
          <w:highlight w:val="none"/>
        </w:rPr>
        <w:t>须在封面清楚地标明“正本”、“副本”，副本应为正本的完整复印件，副本与正本不一致时以正本为准。</w:t>
      </w:r>
    </w:p>
    <w:p>
      <w:pPr>
        <w:tabs>
          <w:tab w:val="left" w:pos="0"/>
        </w:tabs>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2.在</w:t>
      </w:r>
      <w:r>
        <w:rPr>
          <w:rFonts w:hint="eastAsia" w:hAnsi="宋体" w:cs="宋体"/>
          <w:sz w:val="24"/>
          <w:highlight w:val="none"/>
          <w:lang w:eastAsia="zh-CN"/>
        </w:rPr>
        <w:t>响应文件</w:t>
      </w:r>
      <w:r>
        <w:rPr>
          <w:rFonts w:hint="eastAsia" w:ascii="宋体" w:hAnsi="宋体" w:eastAsia="宋体" w:cs="宋体"/>
          <w:sz w:val="24"/>
          <w:highlight w:val="none"/>
        </w:rPr>
        <w:t>正本中，</w:t>
      </w:r>
      <w:r>
        <w:rPr>
          <w:rFonts w:hint="eastAsia" w:hAnsi="宋体" w:cs="宋体"/>
          <w:sz w:val="24"/>
          <w:highlight w:val="none"/>
          <w:lang w:eastAsia="zh-CN"/>
        </w:rPr>
        <w:t>竞争性比选文件</w:t>
      </w:r>
      <w:r>
        <w:rPr>
          <w:rFonts w:hint="eastAsia" w:ascii="宋体" w:hAnsi="宋体" w:eastAsia="宋体" w:cs="宋体"/>
          <w:sz w:val="24"/>
          <w:highlight w:val="none"/>
        </w:rPr>
        <w:t>第</w:t>
      </w:r>
      <w:r>
        <w:rPr>
          <w:rFonts w:hint="eastAsia" w:ascii="宋体" w:hAnsi="宋体" w:eastAsia="宋体" w:cs="宋体"/>
          <w:sz w:val="24"/>
          <w:highlight w:val="none"/>
          <w:lang w:eastAsia="zh-CN"/>
        </w:rPr>
        <w:t>六</w:t>
      </w:r>
      <w:r>
        <w:rPr>
          <w:rFonts w:hint="eastAsia" w:ascii="宋体" w:hAnsi="宋体" w:eastAsia="宋体" w:cs="宋体"/>
          <w:sz w:val="24"/>
          <w:highlight w:val="none"/>
        </w:rPr>
        <w:t>篇</w:t>
      </w:r>
      <w:r>
        <w:rPr>
          <w:rFonts w:hint="eastAsia" w:hAnsi="宋体" w:cs="宋体"/>
          <w:sz w:val="24"/>
          <w:highlight w:val="none"/>
          <w:lang w:eastAsia="zh-CN"/>
        </w:rPr>
        <w:t>响应文件</w:t>
      </w:r>
      <w:r>
        <w:rPr>
          <w:rFonts w:hint="eastAsia" w:ascii="宋体" w:hAnsi="宋体" w:eastAsia="宋体" w:cs="宋体"/>
          <w:sz w:val="24"/>
          <w:highlight w:val="none"/>
        </w:rPr>
        <w:t>格式中规定签字、盖章的地方必须按其规定签字、盖章。</w:t>
      </w:r>
    </w:p>
    <w:p>
      <w:pPr>
        <w:tabs>
          <w:tab w:val="left" w:pos="0"/>
        </w:tabs>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3.若投标人对</w:t>
      </w:r>
      <w:r>
        <w:rPr>
          <w:rFonts w:hint="eastAsia" w:hAnsi="宋体" w:cs="宋体"/>
          <w:sz w:val="24"/>
          <w:highlight w:val="none"/>
          <w:lang w:eastAsia="zh-CN"/>
        </w:rPr>
        <w:t>响应文件</w:t>
      </w:r>
      <w:r>
        <w:rPr>
          <w:rFonts w:hint="eastAsia" w:ascii="宋体" w:hAnsi="宋体" w:eastAsia="宋体" w:cs="宋体"/>
          <w:sz w:val="24"/>
          <w:highlight w:val="none"/>
        </w:rPr>
        <w:t>的错处作必要修改，则应在修改处加盖投标人公章或由</w:t>
      </w:r>
      <w:r>
        <w:rPr>
          <w:rFonts w:hint="eastAsia" w:ascii="宋体" w:hAnsi="宋体" w:eastAsia="宋体" w:cs="宋体"/>
          <w:sz w:val="24"/>
          <w:szCs w:val="28"/>
          <w:highlight w:val="none"/>
        </w:rPr>
        <w:t>法定代表人</w:t>
      </w:r>
      <w:r>
        <w:rPr>
          <w:rFonts w:hint="eastAsia" w:ascii="宋体" w:hAnsi="宋体" w:eastAsia="宋体" w:cs="宋体"/>
          <w:sz w:val="24"/>
          <w:highlight w:val="none"/>
        </w:rPr>
        <w:t>或</w:t>
      </w:r>
      <w:r>
        <w:rPr>
          <w:rFonts w:hint="eastAsia" w:ascii="宋体" w:hAnsi="宋体" w:eastAsia="宋体" w:cs="宋体"/>
          <w:sz w:val="24"/>
          <w:szCs w:val="28"/>
          <w:highlight w:val="none"/>
        </w:rPr>
        <w:t>法定代表人</w:t>
      </w:r>
      <w:r>
        <w:rPr>
          <w:rFonts w:hint="eastAsia" w:ascii="宋体" w:hAnsi="宋体" w:eastAsia="宋体" w:cs="宋体"/>
          <w:sz w:val="24"/>
          <w:highlight w:val="none"/>
        </w:rPr>
        <w:t>授权代表签字确认。</w:t>
      </w:r>
    </w:p>
    <w:p>
      <w:pPr>
        <w:snapToGrid w:val="0"/>
        <w:spacing w:line="400" w:lineRule="exact"/>
        <w:ind w:firstLine="470" w:firstLineChars="196"/>
        <w:jc w:val="left"/>
        <w:rPr>
          <w:rFonts w:hint="eastAsia" w:ascii="宋体" w:hAnsi="宋体" w:eastAsia="宋体" w:cs="宋体"/>
          <w:bCs/>
          <w:sz w:val="24"/>
          <w:highlight w:val="none"/>
        </w:rPr>
      </w:pPr>
      <w:r>
        <w:rPr>
          <w:rFonts w:hint="eastAsia" w:ascii="宋体" w:hAnsi="宋体" w:eastAsia="宋体" w:cs="宋体"/>
          <w:sz w:val="24"/>
          <w:highlight w:val="none"/>
        </w:rPr>
        <w:t>4.电报、电话、传真形式的</w:t>
      </w:r>
      <w:r>
        <w:rPr>
          <w:rFonts w:hint="eastAsia" w:hAnsi="宋体" w:cs="宋体"/>
          <w:sz w:val="24"/>
          <w:highlight w:val="none"/>
          <w:lang w:eastAsia="zh-CN"/>
        </w:rPr>
        <w:t>响应文件</w:t>
      </w:r>
      <w:r>
        <w:rPr>
          <w:rFonts w:hint="eastAsia" w:ascii="宋体" w:hAnsi="宋体" w:eastAsia="宋体" w:cs="宋体"/>
          <w:sz w:val="24"/>
          <w:highlight w:val="none"/>
        </w:rPr>
        <w:t>概不接受。</w:t>
      </w:r>
    </w:p>
    <w:p>
      <w:pPr>
        <w:snapToGrid w:val="0"/>
        <w:spacing w:line="40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（五）投标报价</w:t>
      </w:r>
    </w:p>
    <w:p>
      <w:pPr>
        <w:snapToGrid w:val="0"/>
        <w:spacing w:line="400" w:lineRule="exact"/>
        <w:ind w:firstLine="470" w:firstLineChars="196"/>
        <w:jc w:val="left"/>
        <w:rPr>
          <w:rFonts w:hint="eastAsia" w:ascii="宋体" w:hAnsi="宋体" w:eastAsia="宋体" w:cs="宋体"/>
          <w:sz w:val="24"/>
          <w:highlight w:val="none"/>
        </w:rPr>
      </w:pPr>
      <w:r>
        <w:rPr>
          <w:rFonts w:hint="eastAsia" w:ascii="宋体" w:hAnsi="宋体" w:eastAsia="宋体" w:cs="宋体"/>
          <w:bCs/>
          <w:sz w:val="24"/>
          <w:highlight w:val="none"/>
        </w:rPr>
        <w:t>1.投标人应严格按照“</w:t>
      </w:r>
      <w:r>
        <w:rPr>
          <w:rFonts w:hint="eastAsia" w:hAnsi="宋体" w:cs="宋体"/>
          <w:bCs/>
          <w:sz w:val="24"/>
          <w:highlight w:val="none"/>
          <w:lang w:eastAsia="zh-CN"/>
        </w:rPr>
        <w:t>响应文件</w:t>
      </w:r>
      <w:r>
        <w:rPr>
          <w:rFonts w:hint="eastAsia" w:ascii="宋体" w:hAnsi="宋体" w:eastAsia="宋体" w:cs="宋体"/>
          <w:bCs/>
          <w:sz w:val="24"/>
          <w:highlight w:val="none"/>
        </w:rPr>
        <w:t>格式”中“</w:t>
      </w:r>
      <w:r>
        <w:rPr>
          <w:rFonts w:hint="eastAsia" w:hAnsi="宋体" w:cs="宋体"/>
          <w:bCs/>
          <w:sz w:val="24"/>
          <w:highlight w:val="none"/>
          <w:lang w:eastAsia="zh-CN"/>
        </w:rPr>
        <w:t>采购项目</w:t>
      </w:r>
      <w:r>
        <w:rPr>
          <w:rFonts w:hint="eastAsia" w:ascii="宋体" w:hAnsi="宋体" w:eastAsia="宋体" w:cs="宋体"/>
          <w:bCs/>
          <w:sz w:val="24"/>
          <w:highlight w:val="none"/>
        </w:rPr>
        <w:t>一览表”和“分项报价明细表”</w:t>
      </w:r>
      <w:r>
        <w:rPr>
          <w:rFonts w:hint="eastAsia" w:ascii="宋体" w:hAnsi="宋体" w:eastAsia="宋体" w:cs="宋体"/>
          <w:sz w:val="24"/>
          <w:highlight w:val="none"/>
        </w:rPr>
        <w:t>的格式填写报价。</w:t>
      </w:r>
    </w:p>
    <w:p>
      <w:pPr>
        <w:snapToGrid w:val="0"/>
        <w:spacing w:line="400" w:lineRule="exact"/>
        <w:ind w:left="3" w:leftChars="1" w:firstLine="480" w:firstLineChars="200"/>
        <w:rPr>
          <w:rFonts w:hint="eastAsia" w:ascii="宋体" w:hAnsi="宋体" w:eastAsia="宋体" w:cs="宋体"/>
          <w:sz w:val="24"/>
          <w:highlight w:val="none"/>
        </w:rPr>
      </w:pPr>
      <w:r>
        <w:rPr>
          <w:rFonts w:hint="eastAsia" w:ascii="宋体" w:hAnsi="宋体" w:eastAsia="宋体" w:cs="宋体"/>
          <w:sz w:val="24"/>
          <w:highlight w:val="none"/>
        </w:rPr>
        <w:t>2.投标人的报价为一次性报价，即在投标有效期内投标价格固定不变。</w:t>
      </w:r>
    </w:p>
    <w:p>
      <w:pPr>
        <w:snapToGrid w:val="0"/>
        <w:spacing w:line="400" w:lineRule="exact"/>
        <w:ind w:left="3" w:leftChars="1" w:firstLine="480" w:firstLineChars="200"/>
        <w:rPr>
          <w:rFonts w:hint="eastAsia" w:ascii="宋体" w:hAnsi="宋体" w:eastAsia="宋体" w:cs="宋体"/>
          <w:sz w:val="24"/>
          <w:highlight w:val="none"/>
        </w:rPr>
      </w:pPr>
      <w:r>
        <w:rPr>
          <w:rFonts w:hint="eastAsia" w:ascii="宋体" w:hAnsi="宋体" w:eastAsia="宋体" w:cs="宋体"/>
          <w:sz w:val="24"/>
          <w:highlight w:val="none"/>
        </w:rPr>
        <w:t>3.本项目只接受一个投标报价，有选择的或有条件的报价将不予接受。</w:t>
      </w:r>
    </w:p>
    <w:p>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（六）修正错误</w:t>
      </w:r>
    </w:p>
    <w:p>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若</w:t>
      </w:r>
      <w:r>
        <w:rPr>
          <w:rFonts w:hint="eastAsia" w:hAnsi="宋体" w:cs="宋体"/>
          <w:sz w:val="24"/>
          <w:highlight w:val="none"/>
          <w:lang w:eastAsia="zh-CN"/>
        </w:rPr>
        <w:t>响应文件</w:t>
      </w:r>
      <w:r>
        <w:rPr>
          <w:rFonts w:hint="eastAsia" w:ascii="宋体" w:hAnsi="宋体" w:eastAsia="宋体" w:cs="宋体"/>
          <w:sz w:val="24"/>
          <w:highlight w:val="none"/>
        </w:rPr>
        <w:t>出现计算或表达上的错误，修正错误的原则如下：</w:t>
      </w:r>
    </w:p>
    <w:p>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hAnsi="宋体" w:cs="宋体"/>
          <w:sz w:val="24"/>
          <w:highlight w:val="none"/>
          <w:lang w:eastAsia="zh-CN"/>
        </w:rPr>
        <w:t>响应文件</w:t>
      </w:r>
      <w:r>
        <w:rPr>
          <w:rFonts w:hint="eastAsia" w:ascii="宋体" w:hAnsi="宋体" w:eastAsia="宋体" w:cs="宋体"/>
          <w:sz w:val="24"/>
          <w:highlight w:val="none"/>
        </w:rPr>
        <w:t>中</w:t>
      </w:r>
      <w:r>
        <w:rPr>
          <w:rFonts w:hint="eastAsia" w:hAnsi="宋体" w:cs="宋体"/>
          <w:sz w:val="24"/>
          <w:highlight w:val="none"/>
          <w:lang w:eastAsia="zh-CN"/>
        </w:rPr>
        <w:t>采购项目一览表</w:t>
      </w:r>
      <w:r>
        <w:rPr>
          <w:rFonts w:hint="eastAsia" w:ascii="宋体" w:hAnsi="宋体" w:eastAsia="宋体" w:cs="宋体"/>
          <w:sz w:val="24"/>
          <w:highlight w:val="none"/>
        </w:rPr>
        <w:t>（报价表）内容与</w:t>
      </w:r>
      <w:r>
        <w:rPr>
          <w:rFonts w:hint="eastAsia" w:hAnsi="宋体" w:cs="宋体"/>
          <w:sz w:val="24"/>
          <w:highlight w:val="none"/>
          <w:lang w:eastAsia="zh-CN"/>
        </w:rPr>
        <w:t>响应文件</w:t>
      </w:r>
      <w:r>
        <w:rPr>
          <w:rFonts w:hint="eastAsia" w:ascii="宋体" w:hAnsi="宋体" w:eastAsia="宋体" w:cs="宋体"/>
          <w:sz w:val="24"/>
          <w:highlight w:val="none"/>
        </w:rPr>
        <w:t>中相应内容不一致的，以</w:t>
      </w:r>
      <w:r>
        <w:rPr>
          <w:rFonts w:hint="eastAsia" w:hAnsi="宋体" w:cs="宋体"/>
          <w:sz w:val="24"/>
          <w:highlight w:val="none"/>
          <w:lang w:eastAsia="zh-CN"/>
        </w:rPr>
        <w:t>采购项目一览表</w:t>
      </w:r>
      <w:r>
        <w:rPr>
          <w:rFonts w:hint="eastAsia" w:ascii="宋体" w:hAnsi="宋体" w:eastAsia="宋体" w:cs="宋体"/>
          <w:sz w:val="24"/>
          <w:highlight w:val="none"/>
        </w:rPr>
        <w:t>（报价表）为准；</w:t>
      </w:r>
    </w:p>
    <w:p>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2.大写金额和小写金额不一致的，以大写金额为准；</w:t>
      </w:r>
    </w:p>
    <w:p>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3.单价金额小数点或者百分比有明显错位的，以</w:t>
      </w:r>
      <w:r>
        <w:rPr>
          <w:rFonts w:hint="eastAsia" w:hAnsi="宋体" w:cs="宋体"/>
          <w:sz w:val="24"/>
          <w:highlight w:val="none"/>
          <w:lang w:eastAsia="zh-CN"/>
        </w:rPr>
        <w:t>采购项目一览表</w:t>
      </w:r>
      <w:r>
        <w:rPr>
          <w:rFonts w:hint="eastAsia" w:ascii="宋体" w:hAnsi="宋体" w:eastAsia="宋体" w:cs="宋体"/>
          <w:sz w:val="24"/>
          <w:highlight w:val="none"/>
        </w:rPr>
        <w:t>的总价为准，并修改单价；</w:t>
      </w:r>
    </w:p>
    <w:p>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4.总价金额与按单价汇总金额不一致的，以两者中较小的为准。</w:t>
      </w:r>
    </w:p>
    <w:p>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（七）</w:t>
      </w:r>
      <w:r>
        <w:rPr>
          <w:rFonts w:hint="eastAsia" w:hAnsi="宋体" w:cs="宋体"/>
          <w:sz w:val="24"/>
          <w:highlight w:val="none"/>
          <w:lang w:eastAsia="zh-CN"/>
        </w:rPr>
        <w:t>响应文件</w:t>
      </w:r>
      <w:r>
        <w:rPr>
          <w:rFonts w:hint="eastAsia" w:ascii="宋体" w:hAnsi="宋体" w:eastAsia="宋体" w:cs="宋体"/>
          <w:sz w:val="24"/>
          <w:highlight w:val="none"/>
        </w:rPr>
        <w:t>的递交</w:t>
      </w:r>
    </w:p>
    <w:p>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hAnsi="宋体" w:cs="宋体"/>
          <w:sz w:val="24"/>
          <w:highlight w:val="none"/>
          <w:lang w:eastAsia="zh-CN"/>
        </w:rPr>
        <w:t>响应文件</w:t>
      </w:r>
      <w:r>
        <w:rPr>
          <w:rFonts w:hint="eastAsia" w:ascii="宋体" w:hAnsi="宋体" w:eastAsia="宋体" w:cs="宋体"/>
          <w:sz w:val="24"/>
          <w:highlight w:val="none"/>
        </w:rPr>
        <w:t>的密封与标记</w:t>
      </w:r>
    </w:p>
    <w:p>
      <w:pPr>
        <w:pStyle w:val="6"/>
        <w:spacing w:line="400" w:lineRule="exact"/>
        <w:ind w:firstLine="480" w:firstLineChars="200"/>
        <w:rPr>
          <w:rFonts w:hint="eastAsia" w:ascii="宋体" w:hAnsi="宋体" w:eastAsia="宋体" w:cs="宋体"/>
          <w:sz w:val="24"/>
          <w:highlight w:val="none"/>
        </w:rPr>
      </w:pPr>
      <w:r>
        <w:rPr>
          <w:rFonts w:hint="eastAsia" w:hAnsi="宋体" w:cs="宋体"/>
          <w:sz w:val="24"/>
          <w:highlight w:val="none"/>
          <w:lang w:eastAsia="zh-CN"/>
        </w:rPr>
        <w:t>响应文件</w:t>
      </w:r>
      <w:r>
        <w:rPr>
          <w:rFonts w:hint="eastAsia" w:ascii="宋体" w:hAnsi="宋体" w:eastAsia="宋体" w:cs="宋体"/>
          <w:sz w:val="24"/>
          <w:highlight w:val="none"/>
        </w:rPr>
        <w:t>的正本、副本以均应密封送达投标地点，应在封套上注明项目名称、投标人名称。若正本、副本分别进行密封的，还应在封套上注明“正本”、“副本”字样。</w:t>
      </w:r>
    </w:p>
    <w:p>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2.如果</w:t>
      </w:r>
      <w:r>
        <w:rPr>
          <w:rFonts w:hint="eastAsia" w:hAnsi="宋体" w:cs="宋体"/>
          <w:sz w:val="24"/>
          <w:highlight w:val="none"/>
          <w:lang w:eastAsia="zh-CN"/>
        </w:rPr>
        <w:t>响应文件</w:t>
      </w:r>
      <w:r>
        <w:rPr>
          <w:rFonts w:hint="eastAsia" w:ascii="宋体" w:hAnsi="宋体" w:eastAsia="宋体" w:cs="宋体"/>
          <w:sz w:val="24"/>
          <w:highlight w:val="none"/>
        </w:rPr>
        <w:t>通过邮寄递交，投标人应将</w:t>
      </w:r>
      <w:r>
        <w:rPr>
          <w:rFonts w:hint="eastAsia" w:hAnsi="宋体" w:cs="宋体"/>
          <w:sz w:val="24"/>
          <w:highlight w:val="none"/>
          <w:lang w:eastAsia="zh-CN"/>
        </w:rPr>
        <w:t>响应文件</w:t>
      </w:r>
      <w:r>
        <w:rPr>
          <w:rFonts w:hint="eastAsia" w:ascii="宋体" w:hAnsi="宋体" w:eastAsia="宋体" w:cs="宋体"/>
          <w:sz w:val="24"/>
          <w:highlight w:val="none"/>
        </w:rPr>
        <w:t>用内、外两层封套密封。</w:t>
      </w:r>
    </w:p>
    <w:p>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3.如果未按上述规定进行密封和标记，采购代理机构对</w:t>
      </w:r>
      <w:r>
        <w:rPr>
          <w:rFonts w:hint="eastAsia" w:hAnsi="宋体" w:cs="宋体"/>
          <w:sz w:val="24"/>
          <w:highlight w:val="none"/>
          <w:lang w:eastAsia="zh-CN"/>
        </w:rPr>
        <w:t>响应文件</w:t>
      </w:r>
      <w:r>
        <w:rPr>
          <w:rFonts w:hint="eastAsia" w:ascii="宋体" w:hAnsi="宋体" w:eastAsia="宋体" w:cs="宋体"/>
          <w:sz w:val="24"/>
          <w:highlight w:val="none"/>
        </w:rPr>
        <w:t>误投、丢失或提前拆封不负责任。</w:t>
      </w:r>
    </w:p>
    <w:p>
      <w:pPr>
        <w:pStyle w:val="3"/>
        <w:rPr>
          <w:rFonts w:hint="eastAsia" w:ascii="宋体" w:hAnsi="宋体" w:eastAsia="宋体" w:cs="宋体"/>
          <w:highlight w:val="none"/>
        </w:rPr>
      </w:pPr>
      <w:bookmarkStart w:id="69" w:name="_Toc21425665"/>
      <w:bookmarkStart w:id="70" w:name="_Toc98942900"/>
      <w:r>
        <w:rPr>
          <w:rFonts w:hint="eastAsia" w:ascii="宋体" w:hAnsi="宋体" w:eastAsia="宋体" w:cs="宋体"/>
          <w:highlight w:val="none"/>
        </w:rPr>
        <w:t>四、评标</w:t>
      </w:r>
      <w:bookmarkEnd w:id="69"/>
      <w:bookmarkEnd w:id="70"/>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见第四篇“评标”内容。</w:t>
      </w:r>
    </w:p>
    <w:p>
      <w:pPr>
        <w:pStyle w:val="3"/>
        <w:rPr>
          <w:rFonts w:hint="eastAsia" w:ascii="宋体" w:hAnsi="宋体" w:eastAsia="宋体" w:cs="宋体"/>
          <w:highlight w:val="none"/>
        </w:rPr>
      </w:pPr>
      <w:bookmarkStart w:id="71" w:name="_Toc98942901"/>
      <w:bookmarkStart w:id="72" w:name="_Toc21425666"/>
      <w:r>
        <w:rPr>
          <w:rFonts w:hint="eastAsia" w:ascii="宋体" w:hAnsi="宋体" w:eastAsia="宋体" w:cs="宋体"/>
          <w:highlight w:val="none"/>
        </w:rPr>
        <w:t>五、定标</w:t>
      </w:r>
      <w:bookmarkEnd w:id="71"/>
      <w:bookmarkEnd w:id="72"/>
    </w:p>
    <w:p>
      <w:pPr>
        <w:pStyle w:val="6"/>
        <w:spacing w:line="400" w:lineRule="exact"/>
        <w:ind w:firstLine="480" w:firstLineChars="200"/>
        <w:rPr>
          <w:rFonts w:hint="eastAsia" w:ascii="宋体" w:hAnsi="宋体" w:eastAsia="宋体" w:cs="宋体"/>
          <w:sz w:val="24"/>
          <w:highlight w:val="none"/>
        </w:rPr>
      </w:pPr>
      <w:bookmarkStart w:id="73" w:name="_Toc21425668"/>
      <w:r>
        <w:rPr>
          <w:rFonts w:hint="eastAsia" w:ascii="宋体" w:hAnsi="宋体" w:eastAsia="宋体" w:cs="宋体"/>
          <w:sz w:val="24"/>
          <w:highlight w:val="none"/>
        </w:rPr>
        <w:t>根据投标书提供的资格文件、投标报价书、优惠条件等多方面因素进行全面比较，综合优势领先者中标。比较结束后，招标方仅对中标者发出通知。招标方有权对落标者不做落标说明和解释。</w:t>
      </w:r>
    </w:p>
    <w:p>
      <w:pPr>
        <w:pStyle w:val="3"/>
        <w:rPr>
          <w:rFonts w:hint="eastAsia" w:ascii="宋体" w:hAnsi="宋体" w:eastAsia="宋体" w:cs="宋体"/>
          <w:highlight w:val="none"/>
        </w:rPr>
      </w:pPr>
      <w:bookmarkStart w:id="74" w:name="_Toc98942902"/>
      <w:r>
        <w:rPr>
          <w:rFonts w:hint="eastAsia" w:ascii="宋体" w:hAnsi="宋体" w:eastAsia="宋体" w:cs="宋体"/>
          <w:highlight w:val="none"/>
        </w:rPr>
        <w:t>六、询问、质疑和投诉</w:t>
      </w:r>
      <w:bookmarkEnd w:id="73"/>
      <w:bookmarkEnd w:id="74"/>
    </w:p>
    <w:p>
      <w:pP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（一）询问</w:t>
      </w:r>
    </w:p>
    <w:p>
      <w:pP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采购人应当在3个工作日内对投标人依法提出的询问作出答复。投标人询问可以是口头或书面形式。</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（二）质疑</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投标人认为采购文件、采购过程和中标结果使自己的权益受到伤害的，可向采购人以书面形式提出质疑。</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提出质疑的应当是参与所质疑项目采购活动的投标人。 </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（三）投诉</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1.投标人对采购人的答复不满意，或者采购人未在规定时间内作出答复的，可以在答复期满后15个工作日内按照相关法律法规向财政部门提起投诉。</w:t>
      </w:r>
    </w:p>
    <w:p>
      <w:pPr>
        <w:pStyle w:val="3"/>
        <w:rPr>
          <w:rFonts w:hint="eastAsia" w:ascii="宋体" w:hAnsi="宋体" w:eastAsia="宋体" w:cs="宋体"/>
          <w:highlight w:val="none"/>
        </w:rPr>
      </w:pPr>
      <w:bookmarkStart w:id="75" w:name="_Toc21425671"/>
      <w:bookmarkStart w:id="76" w:name="_Toc98942903"/>
      <w:r>
        <w:rPr>
          <w:rFonts w:hint="eastAsia" w:ascii="宋体" w:hAnsi="宋体" w:eastAsia="宋体" w:cs="宋体"/>
          <w:highlight w:val="none"/>
        </w:rPr>
        <w:t>七、签订合同</w:t>
      </w:r>
      <w:bookmarkEnd w:id="75"/>
      <w:bookmarkEnd w:id="76"/>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（一）中标人应当自接到采购人中标电话通知后</w:t>
      </w:r>
      <w:r>
        <w:rPr>
          <w:rFonts w:hint="eastAsia" w:ascii="宋体" w:hAnsi="宋体" w:eastAsia="宋体" w:cs="宋体"/>
          <w:b/>
          <w:bCs/>
          <w:sz w:val="24"/>
          <w:highlight w:val="none"/>
        </w:rPr>
        <w:t>三十日</w:t>
      </w:r>
      <w:r>
        <w:rPr>
          <w:rFonts w:hint="eastAsia" w:ascii="宋体" w:hAnsi="宋体" w:eastAsia="宋体" w:cs="宋体"/>
          <w:sz w:val="24"/>
          <w:highlight w:val="none"/>
        </w:rPr>
        <w:t>内，按照</w:t>
      </w:r>
      <w:r>
        <w:rPr>
          <w:rFonts w:hint="eastAsia" w:hAnsi="宋体" w:cs="宋体"/>
          <w:sz w:val="24"/>
          <w:highlight w:val="none"/>
          <w:lang w:eastAsia="zh-CN"/>
        </w:rPr>
        <w:t>竞争性比选文件</w:t>
      </w:r>
      <w:r>
        <w:rPr>
          <w:rFonts w:hint="eastAsia" w:ascii="宋体" w:hAnsi="宋体" w:eastAsia="宋体" w:cs="宋体"/>
          <w:sz w:val="24"/>
          <w:highlight w:val="none"/>
        </w:rPr>
        <w:t>和中标人</w:t>
      </w:r>
      <w:r>
        <w:rPr>
          <w:rFonts w:hint="eastAsia" w:hAnsi="宋体" w:cs="宋体"/>
          <w:sz w:val="24"/>
          <w:highlight w:val="none"/>
          <w:lang w:eastAsia="zh-CN"/>
        </w:rPr>
        <w:t>响应文件</w:t>
      </w:r>
      <w:r>
        <w:rPr>
          <w:rFonts w:hint="eastAsia" w:ascii="宋体" w:hAnsi="宋体" w:eastAsia="宋体" w:cs="宋体"/>
          <w:sz w:val="24"/>
          <w:highlight w:val="none"/>
        </w:rPr>
        <w:t>的约定，与采购人签订书面合同。所签订的合同不得对</w:t>
      </w:r>
      <w:r>
        <w:rPr>
          <w:rFonts w:hint="eastAsia" w:hAnsi="宋体" w:cs="宋体"/>
          <w:sz w:val="24"/>
          <w:highlight w:val="none"/>
          <w:lang w:eastAsia="zh-CN"/>
        </w:rPr>
        <w:t>竞争性比选文件</w:t>
      </w:r>
      <w:r>
        <w:rPr>
          <w:rFonts w:hint="eastAsia" w:ascii="宋体" w:hAnsi="宋体" w:eastAsia="宋体" w:cs="宋体"/>
          <w:sz w:val="24"/>
          <w:highlight w:val="none"/>
        </w:rPr>
        <w:t>和中标人</w:t>
      </w:r>
      <w:r>
        <w:rPr>
          <w:rFonts w:hint="eastAsia" w:hAnsi="宋体" w:cs="宋体"/>
          <w:sz w:val="24"/>
          <w:highlight w:val="none"/>
          <w:lang w:eastAsia="zh-CN"/>
        </w:rPr>
        <w:t>响应文件</w:t>
      </w:r>
      <w:r>
        <w:rPr>
          <w:rFonts w:hint="eastAsia" w:ascii="宋体" w:hAnsi="宋体" w:eastAsia="宋体" w:cs="宋体"/>
          <w:sz w:val="24"/>
          <w:highlight w:val="none"/>
        </w:rPr>
        <w:t>作实质性修改。</w:t>
      </w:r>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w:t>
      </w:r>
      <w:r>
        <w:rPr>
          <w:rFonts w:hint="eastAsia" w:hAnsi="宋体" w:cs="宋体"/>
          <w:sz w:val="24"/>
          <w:highlight w:val="none"/>
          <w:lang w:eastAsia="zh-CN"/>
        </w:rPr>
        <w:t>竞争性比选文件</w:t>
      </w:r>
      <w:r>
        <w:rPr>
          <w:rFonts w:hint="eastAsia" w:ascii="宋体" w:hAnsi="宋体" w:eastAsia="宋体" w:cs="宋体"/>
          <w:sz w:val="24"/>
          <w:highlight w:val="none"/>
        </w:rPr>
        <w:t>、中标人的</w:t>
      </w:r>
      <w:r>
        <w:rPr>
          <w:rFonts w:hint="eastAsia" w:hAnsi="宋体" w:cs="宋体"/>
          <w:sz w:val="24"/>
          <w:highlight w:val="none"/>
          <w:lang w:eastAsia="zh-CN"/>
        </w:rPr>
        <w:t>响应文件</w:t>
      </w:r>
      <w:r>
        <w:rPr>
          <w:rFonts w:hint="eastAsia" w:ascii="宋体" w:hAnsi="宋体" w:eastAsia="宋体" w:cs="宋体"/>
          <w:sz w:val="24"/>
          <w:highlight w:val="none"/>
        </w:rPr>
        <w:t>及澄清文件等，均为签订采购合同的依据。</w:t>
      </w:r>
    </w:p>
    <w:p>
      <w:pPr>
        <w:rPr>
          <w:rFonts w:hAnsi="宋体" w:cs="宋体"/>
          <w:sz w:val="32"/>
          <w:szCs w:val="32"/>
          <w:highlight w:val="none"/>
        </w:rPr>
      </w:pPr>
      <w:bookmarkStart w:id="77" w:name="_Toc509321006"/>
      <w:bookmarkStart w:id="78" w:name="_Toc19113860"/>
    </w:p>
    <w:p>
      <w:pPr>
        <w:rPr>
          <w:rFonts w:hAnsi="宋体" w:cs="宋体"/>
          <w:sz w:val="32"/>
          <w:szCs w:val="32"/>
          <w:highlight w:val="none"/>
        </w:rPr>
      </w:pPr>
    </w:p>
    <w:p>
      <w:pPr>
        <w:rPr>
          <w:rFonts w:hAnsi="宋体" w:cs="宋体"/>
          <w:sz w:val="32"/>
          <w:szCs w:val="32"/>
          <w:highlight w:val="none"/>
        </w:rPr>
      </w:pPr>
    </w:p>
    <w:p>
      <w:pPr>
        <w:rPr>
          <w:rFonts w:hAnsi="宋体" w:cs="宋体"/>
          <w:sz w:val="32"/>
          <w:szCs w:val="32"/>
          <w:highlight w:val="none"/>
        </w:rPr>
      </w:pPr>
      <w:r>
        <w:rPr>
          <w:rFonts w:hAnsi="宋体" w:cs="宋体"/>
          <w:sz w:val="32"/>
          <w:szCs w:val="32"/>
          <w:highlight w:val="none"/>
        </w:rPr>
        <w:br w:type="page"/>
      </w:r>
    </w:p>
    <w:p>
      <w:pPr>
        <w:pStyle w:val="2"/>
        <w:spacing w:line="360" w:lineRule="auto"/>
        <w:rPr>
          <w:rFonts w:hint="eastAsia" w:ascii="宋体" w:hAnsi="宋体" w:eastAsia="宋体" w:cs="宋体"/>
          <w:highlight w:val="none"/>
        </w:rPr>
      </w:pPr>
      <w:bookmarkStart w:id="79" w:name="_Toc98942904"/>
      <w:r>
        <w:rPr>
          <w:rFonts w:hint="eastAsia" w:ascii="宋体" w:hAnsi="宋体" w:eastAsia="宋体" w:cs="宋体"/>
          <w:highlight w:val="none"/>
        </w:rPr>
        <w:t xml:space="preserve">第六篇 </w:t>
      </w:r>
      <w:r>
        <w:rPr>
          <w:rFonts w:hint="eastAsia" w:ascii="宋体" w:hAnsi="宋体" w:eastAsia="宋体" w:cs="宋体"/>
          <w:highlight w:val="none"/>
          <w:lang w:eastAsia="zh-CN"/>
        </w:rPr>
        <w:t>响应文件</w:t>
      </w:r>
      <w:r>
        <w:rPr>
          <w:rFonts w:hint="eastAsia" w:ascii="宋体" w:hAnsi="宋体" w:eastAsia="宋体" w:cs="宋体"/>
          <w:highlight w:val="none"/>
        </w:rPr>
        <w:t>格式</w:t>
      </w:r>
      <w:bookmarkEnd w:id="77"/>
      <w:r>
        <w:rPr>
          <w:rFonts w:hint="eastAsia" w:ascii="宋体" w:hAnsi="宋体" w:eastAsia="宋体" w:cs="宋体"/>
          <w:highlight w:val="none"/>
        </w:rPr>
        <w:t>要求</w:t>
      </w:r>
      <w:bookmarkEnd w:id="78"/>
      <w:bookmarkEnd w:id="79"/>
    </w:p>
    <w:p>
      <w:pPr>
        <w:ind w:firstLine="560"/>
        <w:jc w:val="center"/>
        <w:rPr>
          <w:rFonts w:hint="eastAsia"/>
          <w:highlight w:val="none"/>
        </w:rPr>
      </w:pPr>
    </w:p>
    <w:p>
      <w:pPr>
        <w:ind w:firstLine="560"/>
        <w:jc w:val="center"/>
        <w:rPr>
          <w:rFonts w:hint="eastAsia"/>
          <w:highlight w:val="none"/>
        </w:rPr>
      </w:pPr>
      <w:r>
        <w:rPr>
          <w:rFonts w:hint="eastAsia"/>
          <w:highlight w:val="none"/>
        </w:rPr>
        <w:t>封  面</w:t>
      </w:r>
    </w:p>
    <w:p>
      <w:pPr>
        <w:ind w:firstLine="560"/>
        <w:rPr>
          <w:rFonts w:hint="eastAsia"/>
          <w:highlight w:val="none"/>
        </w:rPr>
      </w:pPr>
    </w:p>
    <w:p>
      <w:pPr>
        <w:ind w:firstLine="0" w:firstLineChars="0"/>
        <w:jc w:val="center"/>
        <w:rPr>
          <w:rFonts w:hint="eastAsia"/>
          <w:sz w:val="52"/>
          <w:szCs w:val="52"/>
          <w:highlight w:val="none"/>
        </w:rPr>
      </w:pPr>
      <w:r>
        <w:rPr>
          <w:rFonts w:hint="eastAsia"/>
          <w:sz w:val="52"/>
          <w:szCs w:val="52"/>
          <w:highlight w:val="none"/>
        </w:rPr>
        <w:t>重庆医科大学附属口腔医院</w:t>
      </w:r>
    </w:p>
    <w:p>
      <w:pPr>
        <w:ind w:firstLine="0" w:firstLineChars="0"/>
        <w:jc w:val="left"/>
        <w:rPr>
          <w:rFonts w:hint="eastAsia"/>
          <w:sz w:val="52"/>
          <w:szCs w:val="52"/>
          <w:highlight w:val="none"/>
        </w:rPr>
      </w:pPr>
      <w:r>
        <w:rPr>
          <w:rFonts w:hint="eastAsia"/>
          <w:sz w:val="52"/>
          <w:szCs w:val="52"/>
          <w:highlight w:val="none"/>
        </w:rPr>
        <w:t>项目名称：</w:t>
      </w:r>
    </w:p>
    <w:p>
      <w:pPr>
        <w:ind w:firstLine="0" w:firstLineChars="0"/>
        <w:jc w:val="left"/>
        <w:rPr>
          <w:rFonts w:hint="eastAsia"/>
          <w:sz w:val="52"/>
          <w:szCs w:val="52"/>
          <w:highlight w:val="none"/>
        </w:rPr>
      </w:pPr>
      <w:r>
        <w:rPr>
          <w:rFonts w:hint="eastAsia"/>
          <w:sz w:val="52"/>
          <w:szCs w:val="52"/>
          <w:highlight w:val="none"/>
        </w:rPr>
        <w:t>项目编号：</w:t>
      </w:r>
    </w:p>
    <w:p>
      <w:pPr>
        <w:ind w:firstLine="0" w:firstLineChars="0"/>
        <w:jc w:val="center"/>
        <w:rPr>
          <w:rFonts w:hint="eastAsia"/>
          <w:highlight w:val="none"/>
        </w:rPr>
      </w:pPr>
      <w:r>
        <w:rPr>
          <w:rFonts w:hint="eastAsia"/>
          <w:highlight w:val="none"/>
        </w:rPr>
        <w:t>（正本/副本）</w:t>
      </w:r>
    </w:p>
    <w:p>
      <w:pPr>
        <w:ind w:firstLine="0" w:firstLineChars="0"/>
        <w:rPr>
          <w:rFonts w:hint="eastAsia"/>
          <w:highlight w:val="none"/>
        </w:rPr>
      </w:pPr>
    </w:p>
    <w:p>
      <w:pPr>
        <w:ind w:firstLine="0" w:firstLineChars="0"/>
        <w:rPr>
          <w:rFonts w:hint="eastAsia"/>
          <w:highlight w:val="none"/>
        </w:rPr>
      </w:pPr>
    </w:p>
    <w:p>
      <w:pPr>
        <w:ind w:firstLine="0" w:firstLineChars="0"/>
        <w:jc w:val="center"/>
        <w:rPr>
          <w:rFonts w:hint="eastAsia"/>
          <w:sz w:val="72"/>
          <w:szCs w:val="72"/>
          <w:highlight w:val="none"/>
          <w:lang w:eastAsia="zh-CN"/>
        </w:rPr>
      </w:pPr>
      <w:r>
        <w:rPr>
          <w:rFonts w:hint="eastAsia"/>
          <w:sz w:val="72"/>
          <w:szCs w:val="72"/>
          <w:highlight w:val="none"/>
          <w:lang w:eastAsia="zh-CN"/>
        </w:rPr>
        <w:t>响</w:t>
      </w:r>
    </w:p>
    <w:p>
      <w:pPr>
        <w:ind w:firstLine="0" w:firstLineChars="0"/>
        <w:jc w:val="center"/>
        <w:rPr>
          <w:rFonts w:hint="eastAsia" w:eastAsia="宋体"/>
          <w:sz w:val="72"/>
          <w:szCs w:val="72"/>
          <w:highlight w:val="none"/>
          <w:lang w:eastAsia="zh-CN"/>
        </w:rPr>
      </w:pPr>
      <w:r>
        <w:rPr>
          <w:rFonts w:hint="eastAsia"/>
          <w:sz w:val="72"/>
          <w:szCs w:val="72"/>
          <w:highlight w:val="none"/>
          <w:lang w:eastAsia="zh-CN"/>
        </w:rPr>
        <w:t>应</w:t>
      </w:r>
    </w:p>
    <w:p>
      <w:pPr>
        <w:ind w:firstLine="0" w:firstLineChars="0"/>
        <w:jc w:val="center"/>
        <w:rPr>
          <w:rFonts w:hint="eastAsia"/>
          <w:sz w:val="72"/>
          <w:szCs w:val="72"/>
          <w:highlight w:val="none"/>
        </w:rPr>
      </w:pPr>
      <w:r>
        <w:rPr>
          <w:rFonts w:hint="eastAsia"/>
          <w:sz w:val="72"/>
          <w:szCs w:val="72"/>
          <w:highlight w:val="none"/>
        </w:rPr>
        <w:t>文</w:t>
      </w:r>
    </w:p>
    <w:p>
      <w:pPr>
        <w:ind w:firstLine="0" w:firstLineChars="0"/>
        <w:jc w:val="center"/>
        <w:rPr>
          <w:rFonts w:hint="eastAsia"/>
          <w:sz w:val="72"/>
          <w:szCs w:val="72"/>
          <w:highlight w:val="none"/>
        </w:rPr>
      </w:pPr>
      <w:r>
        <w:rPr>
          <w:rFonts w:hint="eastAsia"/>
          <w:sz w:val="72"/>
          <w:szCs w:val="72"/>
          <w:highlight w:val="none"/>
        </w:rPr>
        <w:t>件</w:t>
      </w:r>
    </w:p>
    <w:p>
      <w:pPr>
        <w:ind w:firstLine="560"/>
        <w:rPr>
          <w:rFonts w:hint="eastAsia"/>
          <w:highlight w:val="none"/>
        </w:rPr>
      </w:pPr>
    </w:p>
    <w:p>
      <w:pPr>
        <w:ind w:firstLine="560"/>
        <w:rPr>
          <w:rFonts w:hint="eastAsia"/>
          <w:highlight w:val="none"/>
        </w:rPr>
      </w:pPr>
    </w:p>
    <w:p>
      <w:pPr>
        <w:spacing w:line="360" w:lineRule="auto"/>
        <w:ind w:firstLine="560"/>
        <w:rPr>
          <w:rFonts w:hint="eastAsia"/>
          <w:highlight w:val="none"/>
        </w:rPr>
      </w:pPr>
      <w:r>
        <w:rPr>
          <w:rFonts w:hint="eastAsia"/>
          <w:highlight w:val="none"/>
        </w:rPr>
        <w:t>投标人</w:t>
      </w:r>
      <w:r>
        <w:rPr>
          <w:rFonts w:hint="eastAsia"/>
          <w:highlight w:val="none"/>
          <w:lang w:eastAsia="zh-CN"/>
        </w:rPr>
        <w:t>（盖章）</w:t>
      </w:r>
      <w:r>
        <w:rPr>
          <w:rFonts w:hint="eastAsia"/>
          <w:highlight w:val="none"/>
        </w:rPr>
        <w:t>：</w:t>
      </w:r>
    </w:p>
    <w:p>
      <w:pPr>
        <w:spacing w:line="360" w:lineRule="auto"/>
        <w:ind w:firstLine="560"/>
        <w:rPr>
          <w:rFonts w:hint="eastAsia"/>
          <w:highlight w:val="none"/>
        </w:rPr>
      </w:pPr>
      <w:r>
        <w:rPr>
          <w:rFonts w:hint="eastAsia"/>
          <w:highlight w:val="none"/>
        </w:rPr>
        <w:t>联系人：</w:t>
      </w:r>
    </w:p>
    <w:p>
      <w:pPr>
        <w:spacing w:line="360" w:lineRule="auto"/>
        <w:ind w:firstLine="560"/>
        <w:rPr>
          <w:rFonts w:hint="eastAsia"/>
          <w:highlight w:val="none"/>
        </w:rPr>
      </w:pPr>
      <w:r>
        <w:rPr>
          <w:rFonts w:hint="eastAsia"/>
          <w:highlight w:val="none"/>
        </w:rPr>
        <w:t>联系电话：</w:t>
      </w:r>
    </w:p>
    <w:p>
      <w:pPr>
        <w:ind w:firstLine="560"/>
        <w:rPr>
          <w:rFonts w:hint="eastAsia"/>
          <w:highlight w:val="none"/>
        </w:rPr>
      </w:pPr>
      <w:r>
        <w:rPr>
          <w:rFonts w:hint="eastAsia"/>
          <w:highlight w:val="none"/>
        </w:rPr>
        <w:t>投标人地址：</w:t>
      </w:r>
    </w:p>
    <w:p>
      <w:pPr>
        <w:rPr>
          <w:rFonts w:hint="eastAsia" w:ascii="宋体" w:hAnsi="宋体" w:eastAsia="宋体" w:cs="宋体"/>
          <w:highlight w:val="none"/>
        </w:rPr>
      </w:pPr>
    </w:p>
    <w:p>
      <w:pPr>
        <w:jc w:val="center"/>
        <w:rPr>
          <w:rFonts w:hint="eastAsia" w:ascii="宋体" w:hAnsi="宋体" w:eastAsia="宋体" w:cs="宋体"/>
          <w:highlight w:val="none"/>
          <w:lang w:eastAsia="zh-CN"/>
        </w:rPr>
      </w:pPr>
      <w:r>
        <w:rPr>
          <w:rFonts w:hint="eastAsia" w:hAnsi="宋体" w:cs="宋体"/>
          <w:highlight w:val="none"/>
          <w:lang w:eastAsia="zh-CN"/>
        </w:rPr>
        <w:t>（注：档案袋封面格式同此格式）</w:t>
      </w:r>
    </w:p>
    <w:p>
      <w:pPr>
        <w:rPr>
          <w:highlight w:val="none"/>
        </w:rPr>
      </w:pPr>
    </w:p>
    <w:p>
      <w:pPr>
        <w:rPr>
          <w:rFonts w:hint="eastAsia" w:hAnsi="宋体" w:cs="宋体"/>
          <w:b/>
          <w:bCs/>
          <w:sz w:val="28"/>
          <w:szCs w:val="28"/>
          <w:highlight w:val="none"/>
        </w:rPr>
      </w:pPr>
      <w:r>
        <w:rPr>
          <w:rFonts w:hint="eastAsia" w:hAnsi="宋体" w:cs="宋体"/>
          <w:b/>
          <w:bCs/>
          <w:sz w:val="28"/>
          <w:szCs w:val="28"/>
          <w:highlight w:val="none"/>
        </w:rPr>
        <w:br w:type="page"/>
      </w:r>
    </w:p>
    <w:p>
      <w:pPr>
        <w:snapToGrid w:val="0"/>
        <w:spacing w:line="360" w:lineRule="auto"/>
        <w:ind w:firstLine="562" w:firstLineChars="200"/>
        <w:rPr>
          <w:rFonts w:hAnsi="宋体" w:cs="宋体"/>
          <w:b/>
          <w:bCs/>
          <w:sz w:val="28"/>
          <w:szCs w:val="28"/>
          <w:highlight w:val="none"/>
        </w:rPr>
      </w:pPr>
      <w:r>
        <w:rPr>
          <w:rFonts w:hint="eastAsia" w:hAnsi="宋体" w:cs="宋体"/>
          <w:b/>
          <w:bCs/>
          <w:sz w:val="28"/>
          <w:szCs w:val="28"/>
          <w:highlight w:val="none"/>
        </w:rPr>
        <w:t>一、经济文件</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（一）</w:t>
      </w:r>
      <w:r>
        <w:rPr>
          <w:rFonts w:hint="eastAsia" w:hAnsi="宋体" w:cs="宋体"/>
          <w:sz w:val="24"/>
          <w:szCs w:val="24"/>
          <w:highlight w:val="none"/>
          <w:lang w:eastAsia="zh-CN"/>
        </w:rPr>
        <w:t>采购项目</w:t>
      </w:r>
      <w:r>
        <w:rPr>
          <w:rFonts w:hint="eastAsia" w:hAnsi="宋体" w:cs="宋体"/>
          <w:sz w:val="24"/>
          <w:szCs w:val="24"/>
          <w:highlight w:val="none"/>
        </w:rPr>
        <w:t>一览表</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（二）分项报价明细表</w:t>
      </w:r>
    </w:p>
    <w:p>
      <w:pPr>
        <w:snapToGrid w:val="0"/>
        <w:spacing w:line="360" w:lineRule="auto"/>
        <w:ind w:firstLine="562" w:firstLineChars="200"/>
        <w:rPr>
          <w:rFonts w:hAnsi="宋体" w:cs="宋体"/>
          <w:b/>
          <w:bCs/>
          <w:sz w:val="28"/>
          <w:szCs w:val="28"/>
          <w:highlight w:val="none"/>
        </w:rPr>
      </w:pPr>
      <w:r>
        <w:rPr>
          <w:rFonts w:hint="eastAsia" w:hAnsi="宋体" w:cs="宋体"/>
          <w:b/>
          <w:bCs/>
          <w:sz w:val="28"/>
          <w:szCs w:val="28"/>
          <w:highlight w:val="none"/>
        </w:rPr>
        <w:t>二、技术文件</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（一）技术条款差异表</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（二）技术条款相关支撑资料（自附）</w:t>
      </w:r>
    </w:p>
    <w:p>
      <w:pPr>
        <w:snapToGrid w:val="0"/>
        <w:spacing w:line="360" w:lineRule="auto"/>
        <w:ind w:firstLine="562" w:firstLineChars="200"/>
        <w:rPr>
          <w:rFonts w:hAnsi="宋体" w:cs="宋体"/>
          <w:b/>
          <w:bCs/>
          <w:sz w:val="28"/>
          <w:szCs w:val="28"/>
          <w:highlight w:val="none"/>
        </w:rPr>
      </w:pPr>
      <w:r>
        <w:rPr>
          <w:rFonts w:hint="eastAsia" w:hAnsi="宋体" w:cs="宋体"/>
          <w:b/>
          <w:bCs/>
          <w:sz w:val="28"/>
          <w:szCs w:val="28"/>
          <w:highlight w:val="none"/>
        </w:rPr>
        <w:t>三、商务文件</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（一）投标函（格式）</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（二）商务条款差异表</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（三）商务条款相关支撑资料（自附）</w:t>
      </w:r>
    </w:p>
    <w:p>
      <w:pPr>
        <w:tabs>
          <w:tab w:val="left" w:pos="1764"/>
        </w:tabs>
        <w:snapToGrid w:val="0"/>
        <w:spacing w:line="360" w:lineRule="auto"/>
        <w:ind w:firstLine="562" w:firstLineChars="200"/>
        <w:rPr>
          <w:rFonts w:hAnsi="宋体" w:cs="宋体"/>
          <w:b/>
          <w:bCs/>
          <w:sz w:val="28"/>
          <w:szCs w:val="28"/>
          <w:highlight w:val="none"/>
        </w:rPr>
      </w:pPr>
      <w:r>
        <w:rPr>
          <w:rFonts w:hint="eastAsia" w:hAnsi="宋体" w:cs="宋体"/>
          <w:b/>
          <w:bCs/>
          <w:sz w:val="28"/>
          <w:szCs w:val="28"/>
          <w:highlight w:val="none"/>
        </w:rPr>
        <w:t>四、其他</w:t>
      </w:r>
    </w:p>
    <w:p>
      <w:pPr>
        <w:tabs>
          <w:tab w:val="left" w:pos="6300"/>
        </w:tabs>
        <w:snapToGrid w:val="0"/>
        <w:spacing w:line="360" w:lineRule="auto"/>
        <w:ind w:firstLine="480" w:firstLineChars="200"/>
        <w:jc w:val="left"/>
        <w:rPr>
          <w:rFonts w:hAnsi="宋体" w:cs="宋体"/>
          <w:sz w:val="24"/>
          <w:szCs w:val="24"/>
          <w:highlight w:val="none"/>
        </w:rPr>
      </w:pPr>
      <w:r>
        <w:rPr>
          <w:rFonts w:hint="eastAsia" w:hAnsi="宋体" w:cs="宋体"/>
          <w:sz w:val="24"/>
          <w:szCs w:val="24"/>
          <w:highlight w:val="none"/>
        </w:rPr>
        <w:t>（一）其他与项目有关的资料（自附）</w:t>
      </w:r>
    </w:p>
    <w:p>
      <w:pPr>
        <w:snapToGrid w:val="0"/>
        <w:spacing w:line="360" w:lineRule="auto"/>
        <w:ind w:firstLine="562" w:firstLineChars="200"/>
        <w:rPr>
          <w:rFonts w:hAnsi="宋体" w:cs="宋体"/>
          <w:b/>
          <w:bCs/>
          <w:sz w:val="28"/>
          <w:szCs w:val="28"/>
          <w:highlight w:val="none"/>
        </w:rPr>
      </w:pPr>
      <w:r>
        <w:rPr>
          <w:rFonts w:hint="eastAsia" w:hAnsi="宋体" w:cs="宋体"/>
          <w:b/>
          <w:bCs/>
          <w:sz w:val="28"/>
          <w:szCs w:val="28"/>
          <w:highlight w:val="none"/>
        </w:rPr>
        <w:t>五、资格文件</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（一）营业执照（副本）或事业单位法人证书（副本）复印件</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（二）法定代表人身份证明书（格式）</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（三）法定代表人授权委托书（格式）</w:t>
      </w:r>
    </w:p>
    <w:p>
      <w:pPr>
        <w:snapToGrid w:val="0"/>
        <w:spacing w:line="360" w:lineRule="auto"/>
        <w:ind w:firstLine="480" w:firstLineChars="200"/>
        <w:rPr>
          <w:rFonts w:hAnsi="宋体" w:cs="宋体"/>
          <w:sz w:val="24"/>
          <w:szCs w:val="24"/>
          <w:highlight w:val="none"/>
        </w:rPr>
      </w:pPr>
      <w:bookmarkStart w:id="80" w:name="_Toc509321007"/>
      <w:bookmarkStart w:id="81" w:name="_Toc429584884"/>
      <w:bookmarkStart w:id="82" w:name="_Toc19113861"/>
      <w:r>
        <w:rPr>
          <w:rFonts w:hint="eastAsia" w:hAnsi="宋体" w:cs="宋体"/>
          <w:sz w:val="24"/>
          <w:szCs w:val="24"/>
          <w:highlight w:val="none"/>
        </w:rPr>
        <w:t>（四）书面声明（格式）</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（五）特定资格条件证书或证明文件</w:t>
      </w:r>
    </w:p>
    <w:p>
      <w:pPr>
        <w:snapToGrid w:val="0"/>
        <w:spacing w:line="360" w:lineRule="auto"/>
        <w:ind w:firstLine="480" w:firstLineChars="200"/>
        <w:rPr>
          <w:rFonts w:hAnsi="宋体" w:cs="宋体"/>
          <w:sz w:val="24"/>
          <w:szCs w:val="24"/>
          <w:highlight w:val="none"/>
        </w:rPr>
      </w:pPr>
    </w:p>
    <w:p>
      <w:pPr>
        <w:snapToGrid w:val="0"/>
        <w:spacing w:line="360" w:lineRule="auto"/>
        <w:jc w:val="left"/>
        <w:rPr>
          <w:rFonts w:hAnsi="宋体" w:cs="宋体"/>
          <w:sz w:val="28"/>
          <w:szCs w:val="28"/>
          <w:highlight w:val="none"/>
        </w:rPr>
      </w:pPr>
    </w:p>
    <w:p>
      <w:pPr>
        <w:snapToGrid w:val="0"/>
        <w:spacing w:line="360" w:lineRule="auto"/>
        <w:jc w:val="left"/>
        <w:rPr>
          <w:rFonts w:hAnsi="宋体" w:cs="宋体"/>
          <w:sz w:val="28"/>
          <w:szCs w:val="28"/>
          <w:highlight w:val="none"/>
        </w:rPr>
      </w:pPr>
    </w:p>
    <w:p>
      <w:pPr>
        <w:snapToGrid w:val="0"/>
        <w:spacing w:line="360" w:lineRule="auto"/>
        <w:jc w:val="left"/>
        <w:rPr>
          <w:rFonts w:hAnsi="宋体" w:cs="宋体"/>
          <w:sz w:val="28"/>
          <w:szCs w:val="28"/>
          <w:highlight w:val="none"/>
        </w:rPr>
      </w:pPr>
    </w:p>
    <w:p>
      <w:pPr>
        <w:snapToGrid w:val="0"/>
        <w:spacing w:line="360" w:lineRule="auto"/>
        <w:jc w:val="left"/>
        <w:rPr>
          <w:rFonts w:hAnsi="宋体" w:cs="宋体"/>
          <w:sz w:val="28"/>
          <w:szCs w:val="28"/>
          <w:highlight w:val="none"/>
        </w:rPr>
      </w:pPr>
    </w:p>
    <w:p>
      <w:pPr>
        <w:snapToGrid w:val="0"/>
        <w:spacing w:line="360" w:lineRule="auto"/>
        <w:jc w:val="left"/>
        <w:rPr>
          <w:rFonts w:hAnsi="宋体" w:cs="宋体"/>
          <w:sz w:val="28"/>
          <w:szCs w:val="28"/>
          <w:highlight w:val="none"/>
        </w:rPr>
      </w:pPr>
    </w:p>
    <w:p>
      <w:pPr>
        <w:snapToGrid w:val="0"/>
        <w:spacing w:line="360" w:lineRule="auto"/>
        <w:jc w:val="left"/>
        <w:rPr>
          <w:rFonts w:hAnsi="宋体" w:cs="宋体"/>
          <w:sz w:val="28"/>
          <w:szCs w:val="28"/>
          <w:highlight w:val="none"/>
        </w:rPr>
      </w:pPr>
    </w:p>
    <w:p>
      <w:pPr>
        <w:snapToGrid w:val="0"/>
        <w:spacing w:line="360" w:lineRule="auto"/>
        <w:jc w:val="left"/>
        <w:rPr>
          <w:rFonts w:hAnsi="宋体" w:cs="宋体"/>
          <w:sz w:val="28"/>
          <w:szCs w:val="28"/>
          <w:highlight w:val="none"/>
        </w:rPr>
      </w:pPr>
    </w:p>
    <w:p>
      <w:pPr>
        <w:rPr>
          <w:rFonts w:hint="eastAsia"/>
          <w:szCs w:val="28"/>
          <w:highlight w:val="none"/>
        </w:rPr>
      </w:pPr>
      <w:bookmarkStart w:id="83" w:name="_Toc98942905"/>
      <w:r>
        <w:rPr>
          <w:rFonts w:hint="eastAsia"/>
          <w:szCs w:val="28"/>
          <w:highlight w:val="none"/>
        </w:rPr>
        <w:br w:type="page"/>
      </w:r>
    </w:p>
    <w:p>
      <w:pPr>
        <w:pStyle w:val="3"/>
        <w:rPr>
          <w:szCs w:val="28"/>
          <w:highlight w:val="none"/>
        </w:rPr>
      </w:pPr>
      <w:r>
        <w:rPr>
          <w:rFonts w:hint="eastAsia"/>
          <w:szCs w:val="28"/>
          <w:highlight w:val="none"/>
        </w:rPr>
        <w:t>一、经济文件</w:t>
      </w:r>
      <w:bookmarkEnd w:id="80"/>
      <w:bookmarkEnd w:id="81"/>
      <w:bookmarkEnd w:id="82"/>
      <w:bookmarkEnd w:id="83"/>
    </w:p>
    <w:p>
      <w:pPr>
        <w:snapToGrid w:val="0"/>
        <w:spacing w:line="360" w:lineRule="auto"/>
        <w:jc w:val="center"/>
        <w:rPr>
          <w:rFonts w:hAnsi="宋体" w:cs="宋体"/>
          <w:sz w:val="28"/>
          <w:szCs w:val="28"/>
          <w:highlight w:val="none"/>
        </w:rPr>
      </w:pPr>
      <w:r>
        <w:rPr>
          <w:rFonts w:hint="eastAsia" w:hAnsi="宋体" w:cs="宋体"/>
          <w:sz w:val="28"/>
          <w:szCs w:val="28"/>
          <w:highlight w:val="none"/>
        </w:rPr>
        <w:t>（一）</w:t>
      </w:r>
      <w:r>
        <w:rPr>
          <w:rFonts w:hint="eastAsia" w:hAnsi="宋体" w:cs="宋体"/>
          <w:sz w:val="28"/>
          <w:szCs w:val="28"/>
          <w:highlight w:val="none"/>
          <w:lang w:eastAsia="zh-CN"/>
        </w:rPr>
        <w:t>采购项目</w:t>
      </w:r>
      <w:r>
        <w:rPr>
          <w:rFonts w:hint="eastAsia" w:hAnsi="宋体" w:cs="宋体"/>
          <w:sz w:val="28"/>
          <w:szCs w:val="28"/>
          <w:highlight w:val="none"/>
        </w:rPr>
        <w:t>一览表</w:t>
      </w:r>
    </w:p>
    <w:p>
      <w:pPr>
        <w:spacing w:line="360" w:lineRule="auto"/>
        <w:ind w:firstLine="280" w:firstLineChars="100"/>
        <w:rPr>
          <w:rFonts w:hAnsi="宋体" w:cs="宋体"/>
          <w:sz w:val="28"/>
          <w:szCs w:val="28"/>
          <w:highlight w:val="none"/>
        </w:rPr>
      </w:pPr>
    </w:p>
    <w:p>
      <w:pPr>
        <w:spacing w:line="500" w:lineRule="exact"/>
        <w:ind w:firstLine="280" w:firstLineChars="100"/>
        <w:rPr>
          <w:rFonts w:ascii="方正仿宋_GBK" w:hAnsi="宋体" w:eastAsia="方正仿宋_GBK"/>
          <w:sz w:val="24"/>
          <w:szCs w:val="28"/>
          <w:highlight w:val="none"/>
        </w:rPr>
      </w:pPr>
      <w:r>
        <w:rPr>
          <w:rFonts w:hint="eastAsia" w:hAnsi="宋体" w:cs="宋体"/>
          <w:sz w:val="28"/>
          <w:szCs w:val="28"/>
          <w:highlight w:val="none"/>
          <w:lang w:eastAsia="zh-CN"/>
        </w:rPr>
        <w:t>采购项目</w:t>
      </w:r>
      <w:r>
        <w:rPr>
          <w:rFonts w:hint="eastAsia" w:hAnsi="宋体" w:cs="宋体"/>
          <w:sz w:val="28"/>
          <w:szCs w:val="28"/>
          <w:highlight w:val="none"/>
        </w:rPr>
        <w:t xml:space="preserve">名称： </w:t>
      </w:r>
    </w:p>
    <w:tbl>
      <w:tblPr>
        <w:tblStyle w:val="12"/>
        <w:tblW w:w="8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155"/>
        <w:gridCol w:w="932"/>
        <w:gridCol w:w="4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788" w:type="dxa"/>
            <w:vAlign w:val="center"/>
          </w:tcPr>
          <w:p>
            <w:pPr>
              <w:spacing w:line="500" w:lineRule="exact"/>
              <w:jc w:val="center"/>
              <w:rPr>
                <w:rFonts w:ascii="方正仿宋_GBK" w:hAnsi="宋体" w:eastAsia="方正仿宋_GBK"/>
                <w:sz w:val="21"/>
                <w:szCs w:val="28"/>
                <w:highlight w:val="none"/>
              </w:rPr>
            </w:pPr>
            <w:r>
              <w:rPr>
                <w:rFonts w:hint="eastAsia" w:ascii="方正仿宋_GBK" w:hAnsi="宋体" w:eastAsia="方正仿宋_GBK"/>
                <w:sz w:val="21"/>
                <w:szCs w:val="28"/>
                <w:highlight w:val="none"/>
              </w:rPr>
              <w:t>投标人名称</w:t>
            </w:r>
          </w:p>
        </w:tc>
        <w:tc>
          <w:tcPr>
            <w:tcW w:w="6847" w:type="dxa"/>
            <w:gridSpan w:val="3"/>
            <w:vAlign w:val="center"/>
          </w:tcPr>
          <w:p>
            <w:pPr>
              <w:spacing w:line="500" w:lineRule="exact"/>
              <w:jc w:val="center"/>
              <w:rPr>
                <w:rFonts w:ascii="方正仿宋_GBK" w:hAnsi="宋体" w:eastAsia="方正仿宋_GBK"/>
                <w:sz w:val="21"/>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2943" w:type="dxa"/>
            <w:gridSpan w:val="2"/>
            <w:vAlign w:val="center"/>
          </w:tcPr>
          <w:p>
            <w:pPr>
              <w:spacing w:line="500" w:lineRule="exact"/>
              <w:jc w:val="center"/>
              <w:rPr>
                <w:rFonts w:ascii="方正仿宋_GBK" w:hAnsi="宋体" w:eastAsia="方正仿宋_GBK"/>
                <w:sz w:val="21"/>
                <w:szCs w:val="28"/>
                <w:highlight w:val="none"/>
              </w:rPr>
            </w:pPr>
            <w:r>
              <w:rPr>
                <w:rFonts w:hint="eastAsia" w:ascii="方正仿宋_GBK" w:hAnsi="宋体" w:eastAsia="方正仿宋_GBK"/>
                <w:sz w:val="21"/>
                <w:szCs w:val="28"/>
                <w:highlight w:val="none"/>
              </w:rPr>
              <w:t>项目名称</w:t>
            </w:r>
          </w:p>
        </w:tc>
        <w:tc>
          <w:tcPr>
            <w:tcW w:w="932" w:type="dxa"/>
            <w:vAlign w:val="center"/>
          </w:tcPr>
          <w:p>
            <w:pPr>
              <w:spacing w:line="500" w:lineRule="exact"/>
              <w:jc w:val="center"/>
              <w:rPr>
                <w:rFonts w:ascii="方正仿宋_GBK" w:hAnsi="宋体" w:eastAsia="方正仿宋_GBK"/>
                <w:sz w:val="21"/>
                <w:szCs w:val="28"/>
                <w:highlight w:val="none"/>
              </w:rPr>
            </w:pPr>
            <w:r>
              <w:rPr>
                <w:rFonts w:hint="eastAsia" w:ascii="方正仿宋_GBK" w:hAnsi="宋体" w:eastAsia="方正仿宋_GBK"/>
                <w:sz w:val="21"/>
                <w:szCs w:val="28"/>
                <w:highlight w:val="none"/>
              </w:rPr>
              <w:t>数量</w:t>
            </w:r>
          </w:p>
        </w:tc>
        <w:tc>
          <w:tcPr>
            <w:tcW w:w="4760" w:type="dxa"/>
            <w:vAlign w:val="center"/>
          </w:tcPr>
          <w:p>
            <w:pPr>
              <w:spacing w:line="500" w:lineRule="exact"/>
              <w:jc w:val="center"/>
              <w:rPr>
                <w:rFonts w:ascii="方正仿宋_GBK" w:hAnsi="宋体" w:eastAsia="方正仿宋_GBK"/>
                <w:sz w:val="21"/>
                <w:szCs w:val="28"/>
                <w:highlight w:val="none"/>
              </w:rPr>
            </w:pPr>
            <w:r>
              <w:rPr>
                <w:rFonts w:hint="eastAsia" w:ascii="方正仿宋_GBK" w:hAnsi="方正仿宋_GBK" w:eastAsia="方正仿宋_GBK"/>
                <w:sz w:val="21"/>
                <w:szCs w:val="28"/>
                <w:highlight w:val="none"/>
              </w:rPr>
              <w:t>投标报价（小写）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jc w:val="center"/>
        </w:trPr>
        <w:tc>
          <w:tcPr>
            <w:tcW w:w="2943" w:type="dxa"/>
            <w:gridSpan w:val="2"/>
            <w:tcBorders>
              <w:bottom w:val="single" w:color="auto" w:sz="4" w:space="0"/>
            </w:tcBorders>
            <w:vAlign w:val="center"/>
          </w:tcPr>
          <w:p>
            <w:pPr>
              <w:spacing w:line="500" w:lineRule="exact"/>
              <w:rPr>
                <w:rFonts w:ascii="方正仿宋_GBK" w:hAnsi="宋体" w:eastAsia="方正仿宋_GBK"/>
                <w:sz w:val="21"/>
                <w:szCs w:val="28"/>
                <w:highlight w:val="none"/>
              </w:rPr>
            </w:pPr>
          </w:p>
        </w:tc>
        <w:tc>
          <w:tcPr>
            <w:tcW w:w="932" w:type="dxa"/>
            <w:tcBorders>
              <w:bottom w:val="single" w:color="auto" w:sz="4" w:space="0"/>
            </w:tcBorders>
          </w:tcPr>
          <w:p>
            <w:pPr>
              <w:spacing w:line="500" w:lineRule="exact"/>
              <w:rPr>
                <w:rFonts w:ascii="方正仿宋_GBK" w:hAnsi="宋体" w:eastAsia="方正仿宋_GBK"/>
                <w:sz w:val="21"/>
                <w:szCs w:val="28"/>
                <w:highlight w:val="none"/>
              </w:rPr>
            </w:pPr>
          </w:p>
        </w:tc>
        <w:tc>
          <w:tcPr>
            <w:tcW w:w="4760" w:type="dxa"/>
            <w:tcBorders>
              <w:bottom w:val="single" w:color="auto" w:sz="4" w:space="0"/>
            </w:tcBorders>
          </w:tcPr>
          <w:p>
            <w:pPr>
              <w:spacing w:line="500" w:lineRule="exact"/>
              <w:rPr>
                <w:rFonts w:ascii="方正仿宋_GBK" w:hAnsi="宋体" w:eastAsia="方正仿宋_GBK"/>
                <w:sz w:val="21"/>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 w:hRule="atLeast"/>
          <w:jc w:val="center"/>
        </w:trPr>
        <w:tc>
          <w:tcPr>
            <w:tcW w:w="8635" w:type="dxa"/>
            <w:gridSpan w:val="4"/>
            <w:tcBorders>
              <w:bottom w:val="single" w:color="auto" w:sz="4" w:space="0"/>
            </w:tcBorders>
            <w:vAlign w:val="center"/>
          </w:tcPr>
          <w:p>
            <w:pPr>
              <w:spacing w:line="560" w:lineRule="exact"/>
              <w:rPr>
                <w:rFonts w:ascii="方正仿宋_GBK" w:hAnsi="宋体" w:eastAsia="方正仿宋_GBK"/>
                <w:sz w:val="21"/>
                <w:szCs w:val="28"/>
                <w:highlight w:val="none"/>
              </w:rPr>
            </w:pPr>
            <w:r>
              <w:rPr>
                <w:rFonts w:hint="eastAsia" w:ascii="方正仿宋_GBK" w:hAnsi="宋体" w:eastAsia="方正仿宋_GBK"/>
                <w:sz w:val="21"/>
                <w:szCs w:val="28"/>
                <w:highlight w:val="none"/>
              </w:rPr>
              <w:t xml:space="preserve">投标报价（大写）：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8635" w:type="dxa"/>
            <w:gridSpan w:val="4"/>
            <w:vAlign w:val="center"/>
          </w:tcPr>
          <w:p>
            <w:pPr>
              <w:rPr>
                <w:highlight w:val="none"/>
              </w:rPr>
            </w:pPr>
            <w:r>
              <w:rPr>
                <w:rFonts w:hint="eastAsia" w:ascii="方正仿宋_GBK" w:hAnsi="宋体" w:eastAsia="方正仿宋_GBK"/>
                <w:sz w:val="21"/>
                <w:szCs w:val="28"/>
                <w:highlight w:val="none"/>
              </w:rPr>
              <w:t>备注：</w:t>
            </w:r>
          </w:p>
        </w:tc>
      </w:tr>
    </w:tbl>
    <w:p>
      <w:pPr>
        <w:pStyle w:val="7"/>
        <w:spacing w:line="500" w:lineRule="exact"/>
        <w:ind w:left="8500"/>
        <w:rPr>
          <w:rFonts w:ascii="方正仿宋_GBK" w:hAnsi="宋体" w:eastAsia="方正仿宋_GBK"/>
          <w:sz w:val="24"/>
          <w:szCs w:val="28"/>
          <w:highlight w:val="none"/>
        </w:rPr>
      </w:pPr>
    </w:p>
    <w:p>
      <w:pPr>
        <w:rPr>
          <w:rFonts w:ascii="方正仿宋_GBK" w:eastAsia="方正仿宋_GBK"/>
          <w:highlight w:val="none"/>
        </w:rPr>
      </w:pPr>
    </w:p>
    <w:p>
      <w:pPr>
        <w:spacing w:line="360" w:lineRule="auto"/>
        <w:ind w:firstLine="560" w:firstLineChars="200"/>
        <w:rPr>
          <w:rFonts w:hAnsi="宋体" w:cs="宋体"/>
          <w:sz w:val="28"/>
          <w:szCs w:val="28"/>
          <w:highlight w:val="none"/>
        </w:rPr>
      </w:pPr>
    </w:p>
    <w:p>
      <w:pPr>
        <w:spacing w:line="360" w:lineRule="auto"/>
        <w:ind w:firstLine="560" w:firstLineChars="200"/>
        <w:rPr>
          <w:rFonts w:hAnsi="宋体" w:cs="宋体"/>
          <w:sz w:val="28"/>
          <w:szCs w:val="28"/>
          <w:highlight w:val="none"/>
        </w:rPr>
      </w:pPr>
      <w:r>
        <w:rPr>
          <w:rFonts w:hint="eastAsia" w:hAnsi="宋体" w:cs="宋体"/>
          <w:sz w:val="28"/>
          <w:szCs w:val="28"/>
          <w:highlight w:val="none"/>
        </w:rPr>
        <w:t>投标人：                        法定代表人或法定代表人授权代表：</w:t>
      </w:r>
    </w:p>
    <w:p>
      <w:pPr>
        <w:spacing w:line="360" w:lineRule="auto"/>
        <w:ind w:firstLine="560" w:firstLineChars="200"/>
        <w:rPr>
          <w:rFonts w:hAnsi="宋体" w:cs="宋体"/>
          <w:sz w:val="28"/>
          <w:szCs w:val="28"/>
          <w:highlight w:val="none"/>
        </w:rPr>
      </w:pPr>
    </w:p>
    <w:p>
      <w:pPr>
        <w:spacing w:line="360" w:lineRule="auto"/>
        <w:ind w:firstLine="560" w:firstLineChars="200"/>
        <w:rPr>
          <w:rFonts w:hAnsi="宋体" w:cs="宋体"/>
          <w:sz w:val="28"/>
          <w:szCs w:val="28"/>
          <w:highlight w:val="none"/>
        </w:rPr>
      </w:pPr>
    </w:p>
    <w:p>
      <w:pPr>
        <w:spacing w:line="360" w:lineRule="auto"/>
        <w:rPr>
          <w:rFonts w:hAnsi="宋体" w:cs="宋体"/>
          <w:sz w:val="28"/>
          <w:szCs w:val="28"/>
          <w:highlight w:val="none"/>
        </w:rPr>
      </w:pPr>
      <w:r>
        <w:rPr>
          <w:rFonts w:hint="eastAsia" w:hAnsi="宋体" w:cs="宋体"/>
          <w:sz w:val="28"/>
          <w:szCs w:val="28"/>
          <w:highlight w:val="none"/>
        </w:rPr>
        <w:t xml:space="preserve">  （投标人公章）                               （签字或盖章）</w:t>
      </w:r>
    </w:p>
    <w:p>
      <w:pPr>
        <w:spacing w:line="360" w:lineRule="auto"/>
        <w:rPr>
          <w:rFonts w:hAnsi="宋体" w:cs="宋体"/>
          <w:sz w:val="28"/>
          <w:szCs w:val="28"/>
          <w:highlight w:val="none"/>
        </w:rPr>
      </w:pPr>
    </w:p>
    <w:p>
      <w:pPr>
        <w:spacing w:line="360" w:lineRule="auto"/>
        <w:ind w:firstLine="5600" w:firstLineChars="2000"/>
        <w:rPr>
          <w:rFonts w:hAnsi="宋体" w:cs="宋体"/>
          <w:sz w:val="28"/>
          <w:szCs w:val="28"/>
          <w:highlight w:val="none"/>
        </w:rPr>
      </w:pPr>
      <w:r>
        <w:rPr>
          <w:rFonts w:hint="eastAsia" w:hAnsi="宋体" w:cs="宋体"/>
          <w:sz w:val="28"/>
          <w:szCs w:val="28"/>
          <w:highlight w:val="none"/>
        </w:rPr>
        <w:t xml:space="preserve">     年     月     日</w:t>
      </w:r>
    </w:p>
    <w:p>
      <w:pPr>
        <w:snapToGrid w:val="0"/>
        <w:spacing w:line="360" w:lineRule="auto"/>
        <w:ind w:firstLine="560" w:firstLineChars="200"/>
        <w:rPr>
          <w:rFonts w:hAnsi="宋体" w:cs="宋体"/>
          <w:sz w:val="28"/>
          <w:szCs w:val="28"/>
          <w:highlight w:val="none"/>
        </w:rPr>
      </w:pPr>
    </w:p>
    <w:p>
      <w:pPr>
        <w:snapToGrid w:val="0"/>
        <w:spacing w:line="360" w:lineRule="auto"/>
        <w:ind w:firstLine="560" w:firstLineChars="200"/>
        <w:rPr>
          <w:rFonts w:hAnsi="宋体" w:cs="宋体"/>
          <w:sz w:val="28"/>
          <w:szCs w:val="28"/>
          <w:highlight w:val="none"/>
        </w:rPr>
      </w:pPr>
    </w:p>
    <w:p>
      <w:pPr>
        <w:snapToGrid w:val="0"/>
        <w:spacing w:line="360" w:lineRule="auto"/>
        <w:ind w:firstLine="560" w:firstLineChars="200"/>
        <w:rPr>
          <w:rFonts w:hAnsi="宋体" w:cs="宋体"/>
          <w:sz w:val="28"/>
          <w:szCs w:val="28"/>
          <w:highlight w:val="none"/>
        </w:rPr>
      </w:pPr>
    </w:p>
    <w:p>
      <w:pPr>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说明：</w:t>
      </w:r>
    </w:p>
    <w:p>
      <w:pPr>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1.</w:t>
      </w:r>
      <w:r>
        <w:rPr>
          <w:rFonts w:hint="eastAsia" w:hAnsi="宋体" w:cs="宋体"/>
          <w:sz w:val="28"/>
          <w:szCs w:val="28"/>
          <w:highlight w:val="none"/>
          <w:lang w:eastAsia="zh-CN"/>
        </w:rPr>
        <w:t>采购项目</w:t>
      </w:r>
      <w:r>
        <w:rPr>
          <w:rFonts w:hint="eastAsia" w:hAnsi="宋体" w:cs="宋体"/>
          <w:sz w:val="28"/>
          <w:szCs w:val="28"/>
          <w:highlight w:val="none"/>
        </w:rPr>
        <w:t>一览表按格式填列；</w:t>
      </w:r>
    </w:p>
    <w:p>
      <w:pPr>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2.</w:t>
      </w:r>
      <w:r>
        <w:rPr>
          <w:rFonts w:hint="eastAsia" w:hAnsi="宋体" w:cs="宋体"/>
          <w:sz w:val="28"/>
          <w:szCs w:val="28"/>
          <w:highlight w:val="none"/>
          <w:lang w:eastAsia="zh-CN"/>
        </w:rPr>
        <w:t>采购项目</w:t>
      </w:r>
      <w:r>
        <w:rPr>
          <w:rFonts w:hint="eastAsia" w:hAnsi="宋体" w:cs="宋体"/>
          <w:sz w:val="28"/>
          <w:szCs w:val="28"/>
          <w:highlight w:val="none"/>
        </w:rPr>
        <w:t xml:space="preserve">一览表务必填写清楚，准确无误； </w:t>
      </w:r>
    </w:p>
    <w:p>
      <w:pPr>
        <w:snapToGrid w:val="0"/>
        <w:spacing w:line="360" w:lineRule="auto"/>
        <w:ind w:firstLine="560" w:firstLineChars="200"/>
        <w:rPr>
          <w:rFonts w:hAnsi="宋体" w:cs="宋体"/>
          <w:sz w:val="28"/>
          <w:szCs w:val="28"/>
          <w:highlight w:val="none"/>
        </w:rPr>
      </w:pPr>
    </w:p>
    <w:p>
      <w:pPr>
        <w:snapToGrid w:val="0"/>
        <w:spacing w:line="360" w:lineRule="auto"/>
        <w:ind w:firstLine="560" w:firstLineChars="200"/>
        <w:rPr>
          <w:rFonts w:hAnsi="宋体" w:cs="宋体"/>
          <w:sz w:val="28"/>
          <w:szCs w:val="28"/>
          <w:highlight w:val="none"/>
        </w:rPr>
      </w:pPr>
    </w:p>
    <w:p>
      <w:pPr>
        <w:snapToGrid w:val="0"/>
        <w:spacing w:line="500" w:lineRule="exact"/>
        <w:ind w:firstLine="680" w:firstLineChars="200"/>
        <w:rPr>
          <w:rFonts w:ascii="方正仿宋_GBK" w:hAnsi="仿宋" w:eastAsia="方正仿宋_GBK"/>
          <w:sz w:val="24"/>
          <w:szCs w:val="28"/>
          <w:highlight w:val="none"/>
        </w:rPr>
      </w:pPr>
      <w:r>
        <w:rPr>
          <w:rFonts w:hint="eastAsia" w:ascii="方正仿宋_GBK" w:hAnsi="仿宋" w:eastAsia="方正仿宋_GBK"/>
          <w:szCs w:val="36"/>
          <w:highlight w:val="none"/>
        </w:rPr>
        <w:t>（二）分项报价明细表</w:t>
      </w:r>
    </w:p>
    <w:p>
      <w:pPr>
        <w:spacing w:line="500" w:lineRule="exact"/>
        <w:rPr>
          <w:rFonts w:ascii="方正仿宋_GBK" w:hAnsi="仿宋" w:eastAsia="方正仿宋_GBK"/>
          <w:sz w:val="24"/>
          <w:szCs w:val="28"/>
          <w:highlight w:val="none"/>
        </w:rPr>
      </w:pPr>
      <w:r>
        <w:rPr>
          <w:rFonts w:hint="eastAsia" w:ascii="方正仿宋_GBK" w:hAnsi="仿宋" w:eastAsia="方正仿宋_GBK"/>
          <w:sz w:val="24"/>
          <w:szCs w:val="28"/>
          <w:highlight w:val="none"/>
          <w:lang w:eastAsia="zh-CN"/>
        </w:rPr>
        <w:t>采购项目</w:t>
      </w:r>
      <w:r>
        <w:rPr>
          <w:rFonts w:hint="eastAsia" w:ascii="方正仿宋_GBK" w:hAnsi="仿宋" w:eastAsia="方正仿宋_GBK"/>
          <w:sz w:val="24"/>
          <w:szCs w:val="28"/>
          <w:highlight w:val="none"/>
        </w:rPr>
        <w:t>名称：</w:t>
      </w:r>
    </w:p>
    <w:p>
      <w:pPr>
        <w:spacing w:line="500" w:lineRule="exact"/>
        <w:rPr>
          <w:rFonts w:ascii="方正仿宋_GBK" w:hAnsi="仿宋" w:eastAsia="方正仿宋_GBK"/>
          <w:sz w:val="24"/>
          <w:szCs w:val="28"/>
          <w:highlight w:val="none"/>
        </w:rPr>
      </w:pPr>
      <w:r>
        <w:rPr>
          <w:rFonts w:hint="eastAsia" w:ascii="方正仿宋_GBK" w:hAnsi="仿宋" w:eastAsia="方正仿宋_GBK"/>
          <w:sz w:val="24"/>
          <w:szCs w:val="28"/>
          <w:highlight w:val="none"/>
        </w:rPr>
        <w:t xml:space="preserve">                                                         </w:t>
      </w:r>
    </w:p>
    <w:p>
      <w:pPr>
        <w:snapToGrid w:val="0"/>
        <w:ind w:firstLine="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1.主险基础责任限额及基础保费表</w:t>
      </w:r>
    </w:p>
    <w:tbl>
      <w:tblPr>
        <w:tblStyle w:val="12"/>
        <w:tblpPr w:leftFromText="180" w:rightFromText="180" w:vertAnchor="text" w:horzAnchor="margin" w:tblpXSpec="center" w:tblpY="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76"/>
        <w:gridCol w:w="1607"/>
        <w:gridCol w:w="1086"/>
        <w:gridCol w:w="1843"/>
        <w:gridCol w:w="1276"/>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gridSpan w:val="2"/>
            <w:noWrap w:val="0"/>
            <w:vAlign w:val="center"/>
          </w:tcPr>
          <w:p>
            <w:pPr>
              <w:snapToGrid w:val="0"/>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基础责任限额</w:t>
            </w:r>
          </w:p>
          <w:p>
            <w:pPr>
              <w:snapToGrid w:val="0"/>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（单位：万元）</w:t>
            </w:r>
          </w:p>
        </w:tc>
        <w:tc>
          <w:tcPr>
            <w:tcW w:w="7110" w:type="dxa"/>
            <w:gridSpan w:val="5"/>
            <w:noWrap w:val="0"/>
            <w:vAlign w:val="center"/>
          </w:tcPr>
          <w:p>
            <w:pPr>
              <w:snapToGrid w:val="0"/>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基础保费</w:t>
            </w:r>
          </w:p>
          <w:p>
            <w:pPr>
              <w:snapToGrid w:val="0"/>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（单位：元/人；元/次）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242" w:type="dxa"/>
            <w:noWrap w:val="0"/>
            <w:vAlign w:val="center"/>
          </w:tcPr>
          <w:p>
            <w:pPr>
              <w:snapToGrid w:val="0"/>
              <w:ind w:left="0" w:leftChars="0" w:firstLine="0" w:firstLineChars="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每人责任限额</w:t>
            </w:r>
          </w:p>
        </w:tc>
        <w:tc>
          <w:tcPr>
            <w:tcW w:w="1276" w:type="dxa"/>
            <w:noWrap w:val="0"/>
            <w:vAlign w:val="center"/>
          </w:tcPr>
          <w:p>
            <w:pPr>
              <w:snapToGrid w:val="0"/>
              <w:ind w:left="0" w:leftChars="0" w:firstLine="0" w:firstLineChars="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累计责任限额</w:t>
            </w:r>
          </w:p>
        </w:tc>
        <w:tc>
          <w:tcPr>
            <w:tcW w:w="1607" w:type="dxa"/>
            <w:noWrap w:val="0"/>
            <w:vAlign w:val="center"/>
          </w:tcPr>
          <w:p>
            <w:pPr>
              <w:snapToGrid w:val="0"/>
              <w:ind w:left="0" w:leftChars="0" w:firstLine="0" w:firstLineChars="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执业（助理）医师保费</w:t>
            </w:r>
          </w:p>
        </w:tc>
        <w:tc>
          <w:tcPr>
            <w:tcW w:w="1086" w:type="dxa"/>
            <w:noWrap w:val="0"/>
            <w:vAlign w:val="center"/>
          </w:tcPr>
          <w:p>
            <w:pPr>
              <w:snapToGrid w:val="0"/>
              <w:ind w:left="0" w:leftChars="0" w:firstLine="0" w:firstLineChars="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注册护士保费</w:t>
            </w:r>
          </w:p>
        </w:tc>
        <w:tc>
          <w:tcPr>
            <w:tcW w:w="1843" w:type="dxa"/>
            <w:noWrap w:val="0"/>
            <w:vAlign w:val="center"/>
          </w:tcPr>
          <w:p>
            <w:pPr>
              <w:snapToGrid w:val="0"/>
              <w:ind w:left="0" w:leftChars="0" w:firstLine="0" w:firstLineChars="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药师（士）、技师（士）保费</w:t>
            </w:r>
          </w:p>
        </w:tc>
        <w:tc>
          <w:tcPr>
            <w:tcW w:w="1276" w:type="dxa"/>
            <w:noWrap w:val="0"/>
            <w:vAlign w:val="center"/>
          </w:tcPr>
          <w:p>
            <w:pPr>
              <w:snapToGrid w:val="0"/>
              <w:ind w:left="0" w:leftChars="0" w:firstLine="0" w:firstLineChars="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总诊疗人次数保费</w:t>
            </w:r>
          </w:p>
        </w:tc>
        <w:tc>
          <w:tcPr>
            <w:tcW w:w="1298" w:type="dxa"/>
            <w:noWrap w:val="0"/>
            <w:vAlign w:val="center"/>
          </w:tcPr>
          <w:p>
            <w:pPr>
              <w:snapToGrid w:val="0"/>
              <w:ind w:left="0" w:leftChars="0" w:firstLine="0" w:firstLineChars="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出院人数保费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pPr>
              <w:snapToGrid w:val="0"/>
              <w:ind w:firstLine="240" w:firstLineChars="10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p>
        </w:tc>
        <w:tc>
          <w:tcPr>
            <w:tcW w:w="1276" w:type="dxa"/>
            <w:noWrap w:val="0"/>
            <w:vAlign w:val="center"/>
          </w:tcPr>
          <w:p>
            <w:pPr>
              <w:snapToGrid w:val="0"/>
              <w:ind w:firstLine="120" w:firstLineChars="5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100</w:t>
            </w:r>
          </w:p>
        </w:tc>
        <w:tc>
          <w:tcPr>
            <w:tcW w:w="1607" w:type="dxa"/>
            <w:noWrap w:val="0"/>
            <w:vAlign w:val="center"/>
          </w:tcPr>
          <w:p>
            <w:pPr>
              <w:snapToGrid w:val="0"/>
              <w:ind w:firstLine="48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待报价</w:t>
            </w:r>
          </w:p>
        </w:tc>
        <w:tc>
          <w:tcPr>
            <w:tcW w:w="1086" w:type="dxa"/>
            <w:noWrap w:val="0"/>
            <w:vAlign w:val="center"/>
          </w:tcPr>
          <w:p>
            <w:pPr>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待报价</w:t>
            </w:r>
          </w:p>
        </w:tc>
        <w:tc>
          <w:tcPr>
            <w:tcW w:w="1843" w:type="dxa"/>
            <w:noWrap w:val="0"/>
            <w:vAlign w:val="center"/>
          </w:tcPr>
          <w:p>
            <w:pPr>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待报价</w:t>
            </w:r>
          </w:p>
        </w:tc>
        <w:tc>
          <w:tcPr>
            <w:tcW w:w="1276" w:type="dxa"/>
            <w:noWrap w:val="0"/>
            <w:vAlign w:val="center"/>
          </w:tcPr>
          <w:p>
            <w:pPr>
              <w:snapToGrid w:val="0"/>
              <w:ind w:left="0" w:leftChars="0"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待报价</w:t>
            </w:r>
          </w:p>
        </w:tc>
        <w:tc>
          <w:tcPr>
            <w:tcW w:w="1298" w:type="dxa"/>
            <w:noWrap w:val="0"/>
            <w:vAlign w:val="center"/>
          </w:tcPr>
          <w:p>
            <w:pPr>
              <w:snapToGrid w:val="0"/>
              <w:ind w:left="0" w:leftChars="0"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待报价</w:t>
            </w:r>
          </w:p>
        </w:tc>
      </w:tr>
    </w:tbl>
    <w:p>
      <w:pPr>
        <w:snapToGrid w:val="0"/>
        <w:rPr>
          <w:rFonts w:hint="eastAsia" w:hAnsi="宋体" w:cs="宋体"/>
          <w:color w:val="000000" w:themeColor="text1"/>
          <w:sz w:val="24"/>
          <w:szCs w:val="24"/>
          <w:highlight w:val="none"/>
          <w:lang w:val="en-US" w:eastAsia="zh-CN"/>
          <w14:textFill>
            <w14:solidFill>
              <w14:schemeClr w14:val="tx1"/>
            </w14:solidFill>
          </w14:textFill>
        </w:rPr>
      </w:pPr>
    </w:p>
    <w:p>
      <w:pPr>
        <w:snapToGrid w:val="0"/>
        <w:rPr>
          <w:rFonts w:hint="eastAsia" w:ascii="宋体" w:hAnsi="宋体" w:eastAsia="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附加险责任限额/保险金额及保费比例</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8"/>
        <w:gridCol w:w="5502"/>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828" w:type="dxa"/>
            <w:noWrap w:val="0"/>
            <w:vAlign w:val="top"/>
          </w:tcPr>
          <w:p>
            <w:pPr>
              <w:snapToGrid w:val="0"/>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险种</w:t>
            </w:r>
          </w:p>
        </w:tc>
        <w:tc>
          <w:tcPr>
            <w:tcW w:w="5502" w:type="dxa"/>
            <w:noWrap w:val="0"/>
            <w:vAlign w:val="top"/>
          </w:tcPr>
          <w:p>
            <w:pPr>
              <w:snapToGrid w:val="0"/>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责任限额/保险金额</w:t>
            </w:r>
          </w:p>
        </w:tc>
        <w:tc>
          <w:tcPr>
            <w:tcW w:w="1298" w:type="dxa"/>
            <w:noWrap w:val="0"/>
            <w:vAlign w:val="top"/>
          </w:tcPr>
          <w:p>
            <w:pPr>
              <w:snapToGrid w:val="0"/>
              <w:ind w:left="0" w:leftChars="0" w:firstLine="0" w:firstLineChars="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保费比例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828" w:type="dxa"/>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公平责任保险</w:t>
            </w:r>
          </w:p>
        </w:tc>
        <w:tc>
          <w:tcPr>
            <w:tcW w:w="5502" w:type="dxa"/>
            <w:noWrap w:val="0"/>
            <w:vAlign w:val="top"/>
          </w:tcPr>
          <w:p>
            <w:pPr>
              <w:snapToGrid w:val="0"/>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每人10万元，累计责任限额为主险责任限额的</w:t>
            </w:r>
            <w:r>
              <w:rPr>
                <w:rFonts w:hint="eastAsia"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0%</w:t>
            </w:r>
          </w:p>
        </w:tc>
        <w:tc>
          <w:tcPr>
            <w:tcW w:w="1298" w:type="dxa"/>
            <w:noWrap w:val="0"/>
            <w:vAlign w:val="top"/>
          </w:tcPr>
          <w:p>
            <w:pPr>
              <w:snapToGrid w:val="0"/>
              <w:ind w:left="0" w:leftChars="0" w:firstLine="0" w:firstLineChars="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待报价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828" w:type="dxa"/>
            <w:noWrap w:val="0"/>
            <w:vAlign w:val="center"/>
          </w:tcPr>
          <w:p>
            <w:pPr>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医疗机构场所责任保险</w:t>
            </w:r>
          </w:p>
        </w:tc>
        <w:tc>
          <w:tcPr>
            <w:tcW w:w="5502" w:type="dxa"/>
            <w:noWrap w:val="0"/>
            <w:vAlign w:val="top"/>
          </w:tcPr>
          <w:p>
            <w:pPr>
              <w:snapToGrid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每次事故和累计责任限额同主险累计责任限额</w:t>
            </w:r>
          </w:p>
        </w:tc>
        <w:tc>
          <w:tcPr>
            <w:tcW w:w="1298" w:type="dxa"/>
            <w:noWrap w:val="0"/>
            <w:vAlign w:val="top"/>
          </w:tcPr>
          <w:p>
            <w:pPr>
              <w:snapToGrid w:val="0"/>
              <w:ind w:left="0" w:leftChars="0" w:firstLine="0" w:firstLineChars="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待报价</w:t>
            </w:r>
          </w:p>
        </w:tc>
      </w:tr>
    </w:tbl>
    <w:p>
      <w:pPr>
        <w:snapToGrid w:val="0"/>
        <w:rPr>
          <w:rFonts w:hint="eastAsia" w:ascii="宋体" w:hAnsi="宋体" w:eastAsia="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br w:type="textWrapping"/>
      </w:r>
      <w:r>
        <w:rPr>
          <w:rFonts w:hint="eastAsia"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保费计算方式</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6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pPr>
              <w:snapToGrid w:val="0"/>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险种</w:t>
            </w:r>
          </w:p>
        </w:tc>
        <w:tc>
          <w:tcPr>
            <w:tcW w:w="6826" w:type="dxa"/>
            <w:noWrap w:val="0"/>
            <w:vAlign w:val="top"/>
          </w:tcPr>
          <w:p>
            <w:pPr>
              <w:snapToGrid w:val="0"/>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保费计算方式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pPr>
              <w:snapToGrid w:val="0"/>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主险</w:t>
            </w:r>
          </w:p>
        </w:tc>
        <w:tc>
          <w:tcPr>
            <w:tcW w:w="6826" w:type="dxa"/>
            <w:noWrap w:val="0"/>
            <w:vAlign w:val="top"/>
          </w:tcPr>
          <w:p>
            <w:pPr>
              <w:snapToGrid w:val="0"/>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执业（助理）医师数×保费+注册护士数×保费+药师（士）技师（士）数×保费+总诊疗人次数×保费+出院人数×保费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pPr>
              <w:snapToGrid w:val="0"/>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附加险</w:t>
            </w:r>
          </w:p>
        </w:tc>
        <w:tc>
          <w:tcPr>
            <w:tcW w:w="6826" w:type="dxa"/>
            <w:noWrap w:val="0"/>
            <w:vAlign w:val="top"/>
          </w:tcPr>
          <w:p>
            <w:pPr>
              <w:snapToGrid w:val="0"/>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主险保费×附加险保费比例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pPr>
              <w:snapToGrid w:val="0"/>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医疗机构总保费</w:t>
            </w:r>
          </w:p>
        </w:tc>
        <w:tc>
          <w:tcPr>
            <w:tcW w:w="6826" w:type="dxa"/>
            <w:noWrap w:val="0"/>
            <w:vAlign w:val="top"/>
          </w:tcPr>
          <w:p>
            <w:pPr>
              <w:snapToGrid w:val="0"/>
              <w:ind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主险保费+附加险保费</w:t>
            </w:r>
          </w:p>
        </w:tc>
      </w:tr>
    </w:tbl>
    <w:p>
      <w:pPr>
        <w:spacing w:line="500" w:lineRule="exact"/>
        <w:ind w:firstLine="480" w:firstLineChars="200"/>
        <w:rPr>
          <w:rFonts w:ascii="方正仿宋_GBK" w:hAnsi="仿宋" w:eastAsia="方正仿宋_GBK"/>
          <w:sz w:val="24"/>
          <w:szCs w:val="28"/>
          <w:highlight w:val="none"/>
        </w:rPr>
      </w:pPr>
    </w:p>
    <w:p>
      <w:pPr>
        <w:spacing w:line="500" w:lineRule="exact"/>
        <w:ind w:firstLine="600" w:firstLineChars="250"/>
        <w:rPr>
          <w:rFonts w:ascii="方正仿宋_GBK" w:hAnsi="仿宋" w:eastAsia="方正仿宋_GBK"/>
          <w:sz w:val="24"/>
          <w:szCs w:val="28"/>
          <w:highlight w:val="none"/>
        </w:rPr>
      </w:pPr>
      <w:r>
        <w:rPr>
          <w:rFonts w:hint="eastAsia" w:ascii="方正仿宋_GBK" w:hAnsi="仿宋" w:eastAsia="方正仿宋_GBK"/>
          <w:sz w:val="24"/>
          <w:szCs w:val="28"/>
          <w:highlight w:val="none"/>
        </w:rPr>
        <w:t>投标人：                           法定代表人或法定代表人授权代表：</w:t>
      </w:r>
    </w:p>
    <w:p>
      <w:pPr>
        <w:spacing w:line="500" w:lineRule="exact"/>
        <w:rPr>
          <w:rFonts w:ascii="方正仿宋_GBK" w:hAnsi="仿宋" w:eastAsia="方正仿宋_GBK"/>
          <w:sz w:val="24"/>
          <w:szCs w:val="28"/>
          <w:highlight w:val="none"/>
        </w:rPr>
      </w:pPr>
      <w:r>
        <w:rPr>
          <w:rFonts w:hint="eastAsia" w:ascii="方正仿宋_GBK" w:hAnsi="仿宋" w:eastAsia="方正仿宋_GBK"/>
          <w:sz w:val="24"/>
          <w:szCs w:val="28"/>
          <w:highlight w:val="none"/>
        </w:rPr>
        <w:t xml:space="preserve">  （投标人公章）                               （签字或盖章）</w:t>
      </w:r>
    </w:p>
    <w:p>
      <w:pPr>
        <w:spacing w:line="500" w:lineRule="exact"/>
        <w:rPr>
          <w:rFonts w:ascii="方正仿宋_GBK" w:hAnsi="仿宋" w:eastAsia="方正仿宋_GBK"/>
          <w:sz w:val="24"/>
          <w:szCs w:val="28"/>
          <w:highlight w:val="none"/>
        </w:rPr>
      </w:pPr>
    </w:p>
    <w:p>
      <w:pPr>
        <w:spacing w:line="500" w:lineRule="exact"/>
        <w:rPr>
          <w:rFonts w:ascii="方正仿宋_GBK" w:hAnsi="仿宋" w:eastAsia="方正仿宋_GBK"/>
          <w:sz w:val="24"/>
          <w:szCs w:val="28"/>
          <w:highlight w:val="none"/>
        </w:rPr>
      </w:pPr>
    </w:p>
    <w:p>
      <w:pPr>
        <w:snapToGrid w:val="0"/>
        <w:spacing w:line="500" w:lineRule="exact"/>
        <w:ind w:firstLine="480" w:firstLineChars="200"/>
        <w:rPr>
          <w:rFonts w:ascii="方正仿宋_GBK" w:hAnsi="仿宋" w:eastAsia="方正仿宋_GBK"/>
          <w:sz w:val="24"/>
          <w:szCs w:val="28"/>
          <w:highlight w:val="none"/>
        </w:rPr>
      </w:pPr>
      <w:r>
        <w:rPr>
          <w:rFonts w:hint="eastAsia" w:ascii="方正仿宋_GBK" w:hAnsi="仿宋" w:eastAsia="方正仿宋_GBK"/>
          <w:sz w:val="24"/>
          <w:szCs w:val="28"/>
          <w:highlight w:val="none"/>
        </w:rPr>
        <w:t xml:space="preserve">                                            年     月     日</w:t>
      </w:r>
    </w:p>
    <w:p>
      <w:pPr>
        <w:snapToGrid w:val="0"/>
        <w:spacing w:line="500" w:lineRule="exact"/>
        <w:ind w:firstLine="480" w:firstLineChars="200"/>
        <w:rPr>
          <w:rFonts w:ascii="方正仿宋_GBK" w:hAnsi="仿宋" w:eastAsia="方正仿宋_GBK"/>
          <w:sz w:val="24"/>
          <w:szCs w:val="28"/>
          <w:highlight w:val="none"/>
        </w:rPr>
      </w:pPr>
    </w:p>
    <w:p>
      <w:pPr>
        <w:snapToGrid w:val="0"/>
        <w:spacing w:line="500" w:lineRule="exact"/>
        <w:ind w:firstLine="480" w:firstLineChars="200"/>
        <w:rPr>
          <w:rFonts w:ascii="方正仿宋_GBK" w:hAnsi="仿宋" w:eastAsia="方正仿宋_GBK"/>
          <w:sz w:val="24"/>
          <w:szCs w:val="28"/>
          <w:highlight w:val="none"/>
        </w:rPr>
      </w:pPr>
      <w:r>
        <w:rPr>
          <w:rFonts w:hint="eastAsia" w:ascii="方正仿宋_GBK" w:hAnsi="仿宋" w:eastAsia="方正仿宋_GBK"/>
          <w:sz w:val="24"/>
          <w:szCs w:val="28"/>
          <w:highlight w:val="none"/>
        </w:rPr>
        <w:t>注：</w:t>
      </w:r>
    </w:p>
    <w:p>
      <w:pPr>
        <w:snapToGrid w:val="0"/>
        <w:spacing w:line="500" w:lineRule="exact"/>
        <w:ind w:firstLine="480" w:firstLineChars="200"/>
        <w:rPr>
          <w:rFonts w:ascii="方正仿宋_GBK" w:hAnsi="仿宋" w:eastAsia="方正仿宋_GBK"/>
          <w:sz w:val="24"/>
          <w:szCs w:val="28"/>
          <w:highlight w:val="none"/>
        </w:rPr>
      </w:pPr>
      <w:r>
        <w:rPr>
          <w:rFonts w:hint="eastAsia" w:ascii="方正仿宋_GBK" w:hAnsi="仿宋" w:eastAsia="方正仿宋_GBK"/>
          <w:sz w:val="24"/>
          <w:szCs w:val="28"/>
          <w:highlight w:val="none"/>
        </w:rPr>
        <w:t>1.请投标人完整填写本表；</w:t>
      </w:r>
    </w:p>
    <w:p>
      <w:pPr>
        <w:snapToGrid w:val="0"/>
        <w:spacing w:line="500" w:lineRule="exact"/>
        <w:ind w:firstLine="480" w:firstLineChars="200"/>
        <w:rPr>
          <w:rFonts w:ascii="方正仿宋_GBK" w:hAnsi="仿宋" w:eastAsia="方正仿宋_GBK"/>
          <w:sz w:val="24"/>
          <w:szCs w:val="28"/>
          <w:highlight w:val="none"/>
        </w:rPr>
      </w:pPr>
      <w:r>
        <w:rPr>
          <w:rFonts w:hint="eastAsia" w:ascii="方正仿宋_GBK" w:hAnsi="仿宋" w:eastAsia="方正仿宋_GBK"/>
          <w:sz w:val="24"/>
          <w:szCs w:val="28"/>
          <w:highlight w:val="none"/>
        </w:rPr>
        <w:t>2.该表可扩展，并逐页签字或盖章。</w:t>
      </w:r>
    </w:p>
    <w:p>
      <w:pPr>
        <w:snapToGrid w:val="0"/>
        <w:spacing w:line="360" w:lineRule="auto"/>
        <w:ind w:firstLine="560" w:firstLineChars="200"/>
        <w:rPr>
          <w:rFonts w:hAnsi="宋体" w:cs="宋体"/>
          <w:sz w:val="28"/>
          <w:szCs w:val="28"/>
          <w:highlight w:val="none"/>
        </w:rPr>
      </w:pPr>
    </w:p>
    <w:p>
      <w:pPr>
        <w:snapToGrid w:val="0"/>
        <w:spacing w:line="360" w:lineRule="auto"/>
        <w:ind w:firstLine="560" w:firstLineChars="200"/>
        <w:rPr>
          <w:rFonts w:hAnsi="宋体" w:cs="宋体"/>
          <w:sz w:val="28"/>
          <w:szCs w:val="28"/>
          <w:highlight w:val="none"/>
        </w:rPr>
      </w:pPr>
    </w:p>
    <w:p>
      <w:pPr>
        <w:rPr>
          <w:highlight w:val="none"/>
        </w:rPr>
      </w:pPr>
    </w:p>
    <w:p>
      <w:pPr>
        <w:rPr>
          <w:highlight w:val="none"/>
        </w:rPr>
      </w:pPr>
    </w:p>
    <w:p>
      <w:pPr>
        <w:pStyle w:val="3"/>
        <w:rPr>
          <w:highlight w:val="none"/>
        </w:rPr>
      </w:pPr>
      <w:bookmarkStart w:id="84" w:name="_Toc98942906"/>
      <w:r>
        <w:rPr>
          <w:rFonts w:hint="eastAsia"/>
          <w:highlight w:val="none"/>
        </w:rPr>
        <w:t>二、技术文件</w:t>
      </w:r>
      <w:bookmarkEnd w:id="84"/>
    </w:p>
    <w:p>
      <w:pPr>
        <w:tabs>
          <w:tab w:val="left" w:pos="6300"/>
        </w:tabs>
        <w:snapToGrid w:val="0"/>
        <w:spacing w:line="360" w:lineRule="auto"/>
        <w:ind w:firstLine="570"/>
        <w:jc w:val="left"/>
        <w:rPr>
          <w:rFonts w:hAnsi="宋体" w:cs="宋体"/>
          <w:sz w:val="28"/>
          <w:szCs w:val="28"/>
          <w:highlight w:val="none"/>
        </w:rPr>
      </w:pPr>
      <w:r>
        <w:rPr>
          <w:rFonts w:hint="eastAsia" w:hAnsi="宋体" w:cs="宋体"/>
          <w:sz w:val="28"/>
          <w:szCs w:val="28"/>
          <w:highlight w:val="none"/>
        </w:rPr>
        <w:t xml:space="preserve">                  （一）技术条款差异表</w:t>
      </w:r>
    </w:p>
    <w:p>
      <w:pPr>
        <w:spacing w:line="360" w:lineRule="auto"/>
        <w:jc w:val="left"/>
        <w:rPr>
          <w:rFonts w:hAnsi="宋体" w:cs="宋体"/>
          <w:sz w:val="28"/>
          <w:szCs w:val="28"/>
          <w:highlight w:val="none"/>
        </w:rPr>
      </w:pPr>
      <w:bookmarkStart w:id="85" w:name="_Toc19113862"/>
      <w:r>
        <w:rPr>
          <w:rFonts w:hint="eastAsia" w:hAnsi="宋体" w:cs="宋体"/>
          <w:sz w:val="28"/>
          <w:szCs w:val="28"/>
          <w:highlight w:val="none"/>
        </w:rPr>
        <w:t xml:space="preserve">         </w:t>
      </w:r>
      <w:r>
        <w:rPr>
          <w:rFonts w:hint="eastAsia" w:hAnsi="宋体" w:cs="宋体"/>
          <w:sz w:val="28"/>
          <w:szCs w:val="28"/>
          <w:highlight w:val="none"/>
          <w:lang w:eastAsia="zh-CN"/>
        </w:rPr>
        <w:t>采购项目</w:t>
      </w:r>
      <w:r>
        <w:rPr>
          <w:rFonts w:hint="eastAsia" w:hAnsi="宋体" w:cs="宋体"/>
          <w:sz w:val="28"/>
          <w:szCs w:val="28"/>
          <w:highlight w:val="none"/>
        </w:rPr>
        <w:t>名称：</w:t>
      </w:r>
      <w:bookmarkEnd w:id="85"/>
    </w:p>
    <w:tbl>
      <w:tblPr>
        <w:tblStyle w:val="12"/>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spacing w:line="360" w:lineRule="auto"/>
              <w:jc w:val="center"/>
              <w:rPr>
                <w:rFonts w:hAnsi="宋体" w:cs="宋体"/>
                <w:sz w:val="28"/>
                <w:szCs w:val="28"/>
                <w:highlight w:val="none"/>
              </w:rPr>
            </w:pPr>
            <w:bookmarkStart w:id="86" w:name="_Toc19113863"/>
            <w:r>
              <w:rPr>
                <w:rFonts w:hint="eastAsia" w:hAnsi="宋体" w:cs="宋体"/>
                <w:sz w:val="28"/>
                <w:szCs w:val="28"/>
                <w:highlight w:val="none"/>
              </w:rPr>
              <w:t>序号</w:t>
            </w:r>
            <w:bookmarkEnd w:id="86"/>
          </w:p>
        </w:tc>
        <w:tc>
          <w:tcPr>
            <w:tcW w:w="2428" w:type="dxa"/>
            <w:vAlign w:val="center"/>
          </w:tcPr>
          <w:p>
            <w:pPr>
              <w:spacing w:line="360" w:lineRule="auto"/>
              <w:jc w:val="center"/>
              <w:rPr>
                <w:rFonts w:hAnsi="宋体" w:cs="宋体"/>
                <w:sz w:val="28"/>
                <w:szCs w:val="28"/>
                <w:highlight w:val="none"/>
              </w:rPr>
            </w:pPr>
            <w:bookmarkStart w:id="87" w:name="_Toc19113864"/>
            <w:r>
              <w:rPr>
                <w:rFonts w:hint="eastAsia" w:hAnsi="宋体" w:cs="宋体"/>
                <w:sz w:val="28"/>
                <w:szCs w:val="28"/>
                <w:highlight w:val="none"/>
              </w:rPr>
              <w:t>招标要求</w:t>
            </w:r>
            <w:bookmarkEnd w:id="87"/>
          </w:p>
        </w:tc>
        <w:tc>
          <w:tcPr>
            <w:tcW w:w="2520" w:type="dxa"/>
            <w:vAlign w:val="center"/>
          </w:tcPr>
          <w:p>
            <w:pPr>
              <w:spacing w:line="360" w:lineRule="auto"/>
              <w:jc w:val="center"/>
              <w:rPr>
                <w:rFonts w:hAnsi="宋体" w:cs="宋体"/>
                <w:sz w:val="28"/>
                <w:szCs w:val="28"/>
                <w:highlight w:val="none"/>
              </w:rPr>
            </w:pPr>
            <w:bookmarkStart w:id="88" w:name="_Toc19113865"/>
            <w:r>
              <w:rPr>
                <w:rFonts w:hint="eastAsia" w:hAnsi="宋体" w:cs="宋体"/>
                <w:sz w:val="28"/>
                <w:szCs w:val="28"/>
                <w:highlight w:val="none"/>
              </w:rPr>
              <w:t>投标应答</w:t>
            </w:r>
            <w:bookmarkEnd w:id="88"/>
          </w:p>
        </w:tc>
        <w:tc>
          <w:tcPr>
            <w:tcW w:w="1888" w:type="dxa"/>
            <w:vAlign w:val="center"/>
          </w:tcPr>
          <w:p>
            <w:pPr>
              <w:spacing w:line="360" w:lineRule="auto"/>
              <w:jc w:val="center"/>
              <w:rPr>
                <w:rFonts w:hAnsi="宋体" w:cs="宋体"/>
                <w:sz w:val="28"/>
                <w:szCs w:val="28"/>
                <w:highlight w:val="none"/>
              </w:rPr>
            </w:pPr>
            <w:bookmarkStart w:id="89" w:name="_Toc19113866"/>
            <w:r>
              <w:rPr>
                <w:rFonts w:hint="eastAsia" w:hAnsi="宋体" w:cs="宋体"/>
                <w:sz w:val="28"/>
                <w:szCs w:val="28"/>
                <w:highlight w:val="none"/>
              </w:rPr>
              <w:t>差异说明</w:t>
            </w:r>
            <w:bookmarkEnd w:id="8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bl>
    <w:p>
      <w:pPr>
        <w:spacing w:line="360" w:lineRule="auto"/>
        <w:ind w:firstLine="700" w:firstLineChars="250"/>
        <w:rPr>
          <w:rFonts w:hAnsi="宋体" w:cs="宋体"/>
          <w:sz w:val="28"/>
          <w:szCs w:val="28"/>
          <w:highlight w:val="none"/>
        </w:rPr>
      </w:pPr>
      <w:r>
        <w:rPr>
          <w:rFonts w:hint="eastAsia" w:hAnsi="宋体" w:cs="宋体"/>
          <w:sz w:val="28"/>
          <w:szCs w:val="28"/>
          <w:highlight w:val="none"/>
        </w:rPr>
        <w:t xml:space="preserve">  投标人：                      法定代表人或法定代表人授权代表：</w:t>
      </w:r>
    </w:p>
    <w:p>
      <w:pPr>
        <w:spacing w:line="360" w:lineRule="auto"/>
        <w:rPr>
          <w:rFonts w:hAnsi="宋体" w:cs="宋体"/>
          <w:sz w:val="28"/>
          <w:szCs w:val="28"/>
          <w:highlight w:val="none"/>
        </w:rPr>
      </w:pPr>
    </w:p>
    <w:p>
      <w:pPr>
        <w:spacing w:line="360" w:lineRule="auto"/>
        <w:ind w:firstLine="700" w:firstLineChars="250"/>
        <w:rPr>
          <w:rFonts w:hAnsi="宋体" w:cs="宋体"/>
          <w:sz w:val="28"/>
          <w:szCs w:val="28"/>
          <w:highlight w:val="none"/>
        </w:rPr>
      </w:pPr>
    </w:p>
    <w:p>
      <w:pPr>
        <w:spacing w:line="360" w:lineRule="auto"/>
        <w:rPr>
          <w:rFonts w:hAnsi="宋体" w:cs="宋体"/>
          <w:sz w:val="28"/>
          <w:szCs w:val="28"/>
          <w:highlight w:val="none"/>
        </w:rPr>
      </w:pPr>
      <w:r>
        <w:rPr>
          <w:rFonts w:hint="eastAsia" w:hAnsi="宋体" w:cs="宋体"/>
          <w:sz w:val="28"/>
          <w:szCs w:val="28"/>
          <w:highlight w:val="none"/>
        </w:rPr>
        <w:t xml:space="preserve">     （投标人公章）                               （签字或盖章）</w:t>
      </w:r>
    </w:p>
    <w:p>
      <w:pPr>
        <w:tabs>
          <w:tab w:val="left" w:pos="6300"/>
        </w:tabs>
        <w:snapToGrid w:val="0"/>
        <w:spacing w:line="360" w:lineRule="auto"/>
        <w:ind w:firstLine="570"/>
        <w:jc w:val="center"/>
        <w:rPr>
          <w:rFonts w:hAnsi="宋体" w:cs="宋体"/>
          <w:sz w:val="28"/>
          <w:szCs w:val="28"/>
          <w:highlight w:val="none"/>
        </w:rPr>
      </w:pPr>
      <w:r>
        <w:rPr>
          <w:rFonts w:hint="eastAsia" w:hAnsi="宋体" w:cs="宋体"/>
          <w:sz w:val="28"/>
          <w:szCs w:val="28"/>
          <w:highlight w:val="none"/>
        </w:rPr>
        <w:t xml:space="preserve">                            年     月     日</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注：</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1.本表即为对本项目“</w:t>
      </w:r>
      <w:r>
        <w:rPr>
          <w:rFonts w:hint="eastAsia" w:hAnsi="宋体" w:cs="宋体"/>
          <w:sz w:val="28"/>
          <w:szCs w:val="28"/>
          <w:highlight w:val="none"/>
          <w:lang w:eastAsia="zh-CN"/>
        </w:rPr>
        <w:t>技术</w:t>
      </w:r>
      <w:r>
        <w:rPr>
          <w:rFonts w:hint="eastAsia" w:hAnsi="宋体" w:cs="宋体"/>
          <w:sz w:val="28"/>
          <w:szCs w:val="28"/>
          <w:highlight w:val="none"/>
        </w:rPr>
        <w:t>要求”中所列</w:t>
      </w:r>
      <w:r>
        <w:rPr>
          <w:rFonts w:hint="eastAsia" w:hAnsi="宋体" w:cs="宋体"/>
          <w:sz w:val="28"/>
          <w:szCs w:val="28"/>
          <w:highlight w:val="none"/>
          <w:lang w:eastAsia="zh-CN"/>
        </w:rPr>
        <w:t>技术</w:t>
      </w:r>
      <w:r>
        <w:rPr>
          <w:rFonts w:hint="eastAsia" w:hAnsi="宋体" w:cs="宋体"/>
          <w:sz w:val="28"/>
          <w:szCs w:val="28"/>
          <w:highlight w:val="none"/>
        </w:rPr>
        <w:t>要求进行比较和响应；</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2.该表必须按照</w:t>
      </w:r>
      <w:r>
        <w:rPr>
          <w:rFonts w:hint="eastAsia" w:hAnsi="宋体" w:cs="宋体"/>
          <w:sz w:val="28"/>
          <w:szCs w:val="28"/>
          <w:highlight w:val="none"/>
          <w:lang w:eastAsia="zh-CN"/>
        </w:rPr>
        <w:t>竞争性比选文件</w:t>
      </w:r>
      <w:r>
        <w:rPr>
          <w:rFonts w:hint="eastAsia" w:hAnsi="宋体" w:cs="宋体"/>
          <w:sz w:val="28"/>
          <w:szCs w:val="28"/>
          <w:highlight w:val="none"/>
        </w:rPr>
        <w:t>要求逐条如实填写，根据投标情况在“差异说明”项填写正偏离或负偏离及原因，完全符合的填写“无差异”；</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3.该表可扩展；</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4.可附相关支撑材料。（格式自定）</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5.填写投标产品《配置清单》、《质保期满后更换配件费用》和《耗材清单》，中标后将作为合同附件。若投标产品无下列相关内容，可填无。下列表格可根据实际情况调整。</w:t>
      </w:r>
    </w:p>
    <w:p>
      <w:pPr>
        <w:ind w:right="-153"/>
        <w:rPr>
          <w:highlight w:val="none"/>
        </w:rPr>
      </w:pPr>
      <w:r>
        <w:rPr>
          <w:rFonts w:hint="eastAsia" w:hAnsi="宋体" w:cs="宋体"/>
          <w:sz w:val="24"/>
          <w:szCs w:val="24"/>
          <w:highlight w:val="none"/>
        </w:rPr>
        <w:t>配置清单</w:t>
      </w:r>
    </w:p>
    <w:tbl>
      <w:tblPr>
        <w:tblStyle w:val="12"/>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6"/>
        <w:gridCol w:w="2375"/>
        <w:gridCol w:w="2136"/>
        <w:gridCol w:w="2989"/>
        <w:gridCol w:w="757"/>
        <w:gridCol w:w="7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353" w:type="pct"/>
            <w:noWrap/>
          </w:tcPr>
          <w:p>
            <w:pPr>
              <w:ind w:right="-153"/>
              <w:jc w:val="center"/>
              <w:rPr>
                <w:sz w:val="24"/>
                <w:szCs w:val="24"/>
                <w:highlight w:val="none"/>
              </w:rPr>
            </w:pPr>
            <w:r>
              <w:rPr>
                <w:rFonts w:hint="eastAsia" w:hAnsi="宋体" w:cs="宋体"/>
                <w:sz w:val="24"/>
                <w:szCs w:val="24"/>
                <w:highlight w:val="none"/>
              </w:rPr>
              <w:t>序号</w:t>
            </w:r>
          </w:p>
        </w:tc>
        <w:tc>
          <w:tcPr>
            <w:tcW w:w="1222" w:type="pct"/>
            <w:noWrap/>
          </w:tcPr>
          <w:p>
            <w:pPr>
              <w:ind w:right="-153"/>
              <w:jc w:val="center"/>
              <w:rPr>
                <w:sz w:val="24"/>
                <w:szCs w:val="24"/>
                <w:highlight w:val="none"/>
              </w:rPr>
            </w:pPr>
            <w:r>
              <w:rPr>
                <w:rFonts w:hint="eastAsia" w:hAnsi="宋体" w:cs="宋体"/>
                <w:sz w:val="24"/>
                <w:szCs w:val="24"/>
                <w:highlight w:val="none"/>
              </w:rPr>
              <w:t>产品名称</w:t>
            </w:r>
          </w:p>
        </w:tc>
        <w:tc>
          <w:tcPr>
            <w:tcW w:w="1099" w:type="pct"/>
          </w:tcPr>
          <w:p>
            <w:pPr>
              <w:ind w:right="-153"/>
              <w:jc w:val="center"/>
              <w:rPr>
                <w:rFonts w:hAnsi="宋体" w:cs="宋体"/>
                <w:sz w:val="24"/>
                <w:szCs w:val="24"/>
                <w:highlight w:val="none"/>
              </w:rPr>
            </w:pPr>
            <w:r>
              <w:rPr>
                <w:rFonts w:hint="eastAsia" w:hAnsi="宋体" w:cs="宋体"/>
                <w:sz w:val="24"/>
                <w:szCs w:val="24"/>
                <w:highlight w:val="none"/>
              </w:rPr>
              <w:t>品牌、型号</w:t>
            </w:r>
          </w:p>
        </w:tc>
        <w:tc>
          <w:tcPr>
            <w:tcW w:w="1538" w:type="pct"/>
            <w:noWrap/>
          </w:tcPr>
          <w:p>
            <w:pPr>
              <w:ind w:right="-153"/>
              <w:jc w:val="center"/>
              <w:rPr>
                <w:sz w:val="24"/>
                <w:szCs w:val="24"/>
                <w:highlight w:val="none"/>
              </w:rPr>
            </w:pPr>
            <w:r>
              <w:rPr>
                <w:rFonts w:hint="eastAsia" w:hAnsi="宋体" w:cs="宋体"/>
                <w:sz w:val="24"/>
                <w:szCs w:val="24"/>
                <w:highlight w:val="none"/>
              </w:rPr>
              <w:t>配置明细</w:t>
            </w:r>
          </w:p>
        </w:tc>
        <w:tc>
          <w:tcPr>
            <w:tcW w:w="390" w:type="pct"/>
            <w:noWrap/>
          </w:tcPr>
          <w:p>
            <w:pPr>
              <w:ind w:right="-153"/>
              <w:jc w:val="center"/>
              <w:rPr>
                <w:sz w:val="24"/>
                <w:szCs w:val="24"/>
                <w:highlight w:val="none"/>
              </w:rPr>
            </w:pPr>
            <w:r>
              <w:rPr>
                <w:rFonts w:hint="eastAsia" w:hAnsi="宋体" w:cs="宋体"/>
                <w:sz w:val="24"/>
                <w:szCs w:val="24"/>
                <w:highlight w:val="none"/>
              </w:rPr>
              <w:t>数量</w:t>
            </w:r>
          </w:p>
        </w:tc>
        <w:tc>
          <w:tcPr>
            <w:tcW w:w="395" w:type="pct"/>
          </w:tcPr>
          <w:p>
            <w:pPr>
              <w:ind w:right="-153"/>
              <w:jc w:val="center"/>
              <w:rPr>
                <w:rFonts w:hAnsi="宋体" w:cs="宋体"/>
                <w:sz w:val="24"/>
                <w:szCs w:val="24"/>
                <w:highlight w:val="none"/>
              </w:rPr>
            </w:pPr>
            <w:r>
              <w:rPr>
                <w:rFonts w:hint="eastAsia" w:hAnsi="宋体" w:cs="宋体"/>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noWrap/>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jc w:val="left"/>
              <w:rPr>
                <w:rFonts w:hAnsi="宋体" w:cs="宋体"/>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tabs>
                <w:tab w:val="center" w:pos="4153"/>
                <w:tab w:val="right" w:pos="8306"/>
              </w:tabs>
              <w:snapToGrid w:val="0"/>
              <w:ind w:right="-153"/>
              <w:jc w:val="center"/>
              <w:rPr>
                <w:rFonts w:hAnsi="宋体" w:cs="宋体"/>
                <w:sz w:val="24"/>
                <w:szCs w:val="24"/>
                <w:highlight w:val="none"/>
              </w:rPr>
            </w:pPr>
          </w:p>
        </w:tc>
        <w:tc>
          <w:tcPr>
            <w:tcW w:w="1222" w:type="pct"/>
            <w:vAlign w:val="center"/>
          </w:tcPr>
          <w:p>
            <w:pPr>
              <w:tabs>
                <w:tab w:val="center" w:pos="4153"/>
                <w:tab w:val="right" w:pos="8306"/>
              </w:tabs>
              <w:snapToGrid w:val="0"/>
              <w:jc w:val="left"/>
              <w:rPr>
                <w:rFonts w:hAnsi="宋体" w:cs="宋体"/>
                <w:sz w:val="24"/>
                <w:szCs w:val="24"/>
                <w:highlight w:val="none"/>
              </w:rPr>
            </w:pPr>
          </w:p>
        </w:tc>
        <w:tc>
          <w:tcPr>
            <w:tcW w:w="1099" w:type="pct"/>
            <w:vAlign w:val="center"/>
          </w:tcPr>
          <w:p>
            <w:pPr>
              <w:tabs>
                <w:tab w:val="center" w:pos="4153"/>
                <w:tab w:val="right" w:pos="8306"/>
              </w:tabs>
              <w:snapToGrid w:val="0"/>
              <w:rPr>
                <w:sz w:val="24"/>
                <w:szCs w:val="24"/>
                <w:highlight w:val="none"/>
              </w:rPr>
            </w:pPr>
          </w:p>
        </w:tc>
        <w:tc>
          <w:tcPr>
            <w:tcW w:w="1538" w:type="pct"/>
            <w:vAlign w:val="center"/>
          </w:tcPr>
          <w:p>
            <w:pPr>
              <w:tabs>
                <w:tab w:val="center" w:pos="4153"/>
                <w:tab w:val="right" w:pos="8306"/>
              </w:tabs>
              <w:snapToGrid w:val="0"/>
              <w:jc w:val="left"/>
              <w:rPr>
                <w:rFonts w:hAnsi="宋体" w:cs="宋体"/>
                <w:sz w:val="24"/>
                <w:szCs w:val="24"/>
                <w:highlight w:val="none"/>
              </w:rPr>
            </w:pPr>
          </w:p>
        </w:tc>
        <w:tc>
          <w:tcPr>
            <w:tcW w:w="390" w:type="pct"/>
            <w:vAlign w:val="center"/>
          </w:tcPr>
          <w:p>
            <w:pPr>
              <w:tabs>
                <w:tab w:val="center" w:pos="4153"/>
                <w:tab w:val="right" w:pos="8306"/>
              </w:tabs>
              <w:snapToGrid w:val="0"/>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tabs>
                <w:tab w:val="center" w:pos="4153"/>
                <w:tab w:val="right" w:pos="8306"/>
              </w:tabs>
              <w:snapToGrid w:val="0"/>
              <w:jc w:val="left"/>
              <w:rPr>
                <w:rFonts w:hAnsi="宋体" w:cs="宋体"/>
                <w:sz w:val="24"/>
                <w:szCs w:val="24"/>
                <w:highlight w:val="none"/>
              </w:rPr>
            </w:pPr>
          </w:p>
        </w:tc>
        <w:tc>
          <w:tcPr>
            <w:tcW w:w="390" w:type="pct"/>
            <w:vAlign w:val="center"/>
          </w:tcPr>
          <w:p>
            <w:pPr>
              <w:tabs>
                <w:tab w:val="center" w:pos="4153"/>
                <w:tab w:val="right" w:pos="8306"/>
              </w:tabs>
              <w:snapToGrid w:val="0"/>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tcPr>
          <w:p>
            <w:pPr>
              <w:rPr>
                <w:rFonts w:hAnsi="宋体" w:cs="宋体"/>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bl>
    <w:p>
      <w:pPr>
        <w:ind w:right="-153"/>
        <w:rPr>
          <w:rFonts w:cs="宋体"/>
          <w:highlight w:val="none"/>
        </w:rPr>
      </w:pPr>
    </w:p>
    <w:p>
      <w:pPr>
        <w:ind w:right="-153"/>
        <w:rPr>
          <w:rFonts w:cs="宋体"/>
          <w:highlight w:val="none"/>
        </w:rPr>
      </w:pPr>
    </w:p>
    <w:p>
      <w:pPr>
        <w:ind w:right="-153"/>
        <w:rPr>
          <w:highlight w:val="none"/>
        </w:rPr>
      </w:pPr>
      <w:r>
        <w:rPr>
          <w:rFonts w:hint="eastAsia" w:cs="宋体"/>
          <w:sz w:val="24"/>
          <w:szCs w:val="24"/>
          <w:highlight w:val="none"/>
        </w:rPr>
        <w:t>质保期满后更换配件费用</w:t>
      </w:r>
    </w:p>
    <w:p>
      <w:pPr>
        <w:ind w:right="-153"/>
        <w:rPr>
          <w:sz w:val="24"/>
          <w:szCs w:val="24"/>
          <w:highlight w:val="none"/>
        </w:rPr>
      </w:pPr>
      <w:r>
        <w:rPr>
          <w:rFonts w:hint="eastAsia" w:hAnsi="宋体" w:cs="宋体"/>
          <w:sz w:val="24"/>
          <w:szCs w:val="24"/>
          <w:highlight w:val="none"/>
        </w:rPr>
        <w:t>（备注：下列易损件质保期内免费更换，质保期满后乙方不能超过此报价供应给甲方，下列易损件是否采购由甲方自行确定。质保期内甲方需新购下列易损件，乙方的供应价格不能超过下列价格。</w:t>
      </w:r>
      <w:r>
        <w:rPr>
          <w:rFonts w:hint="eastAsia" w:cs="宋体"/>
          <w:sz w:val="24"/>
          <w:szCs w:val="24"/>
          <w:highlight w:val="none"/>
        </w:rPr>
        <w:t>）</w:t>
      </w:r>
    </w:p>
    <w:tbl>
      <w:tblPr>
        <w:tblStyle w:val="12"/>
        <w:tblW w:w="4998" w:type="pct"/>
        <w:tblInd w:w="0" w:type="dxa"/>
        <w:tblLayout w:type="fixed"/>
        <w:tblCellMar>
          <w:top w:w="0" w:type="dxa"/>
          <w:left w:w="0" w:type="dxa"/>
          <w:bottom w:w="0" w:type="dxa"/>
          <w:right w:w="0" w:type="dxa"/>
        </w:tblCellMar>
      </w:tblPr>
      <w:tblGrid>
        <w:gridCol w:w="1354"/>
        <w:gridCol w:w="2851"/>
        <w:gridCol w:w="882"/>
        <w:gridCol w:w="1585"/>
        <w:gridCol w:w="1743"/>
        <w:gridCol w:w="1109"/>
      </w:tblGrid>
      <w:tr>
        <w:tblPrEx>
          <w:tblCellMar>
            <w:top w:w="0" w:type="dxa"/>
            <w:left w:w="0" w:type="dxa"/>
            <w:bottom w:w="0" w:type="dxa"/>
            <w:right w:w="0" w:type="dxa"/>
          </w:tblCellMar>
        </w:tblPrEx>
        <w:trPr>
          <w:trHeight w:val="675"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序号</w:t>
            </w: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名称</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单位</w:t>
            </w: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rFonts w:hAnsi="宋体" w:cs="宋体"/>
                <w:color w:val="000000"/>
                <w:sz w:val="24"/>
                <w:szCs w:val="24"/>
                <w:highlight w:val="none"/>
              </w:rPr>
            </w:pPr>
            <w:r>
              <w:rPr>
                <w:rFonts w:hint="eastAsia" w:hAnsi="宋体" w:cs="宋体"/>
                <w:color w:val="000000"/>
                <w:sz w:val="24"/>
                <w:szCs w:val="24"/>
                <w:highlight w:val="none"/>
              </w:rPr>
              <w:t>单价（元）</w:t>
            </w:r>
          </w:p>
          <w:p>
            <w:pPr>
              <w:ind w:right="-153"/>
              <w:jc w:val="center"/>
              <w:rPr>
                <w:color w:val="000000"/>
                <w:sz w:val="24"/>
                <w:szCs w:val="24"/>
                <w:highlight w:val="none"/>
              </w:rPr>
            </w:pPr>
            <w:r>
              <w:rPr>
                <w:rFonts w:hint="eastAsia" w:hAnsi="宋体" w:cs="宋体"/>
                <w:color w:val="000000"/>
                <w:sz w:val="24"/>
                <w:szCs w:val="24"/>
                <w:highlight w:val="none"/>
              </w:rPr>
              <w:t>(含税)</w:t>
            </w:r>
          </w:p>
        </w:tc>
        <w:tc>
          <w:tcPr>
            <w:tcW w:w="915" w:type="pct"/>
            <w:tcBorders>
              <w:top w:val="single" w:color="000000" w:sz="4" w:space="0"/>
              <w:left w:val="single" w:color="000000" w:sz="4" w:space="0"/>
              <w:bottom w:val="single" w:color="000000" w:sz="4" w:space="0"/>
              <w:right w:val="single" w:color="000000" w:sz="4" w:space="0"/>
            </w:tcBorders>
          </w:tcPr>
          <w:p>
            <w:pPr>
              <w:ind w:right="-153"/>
              <w:jc w:val="center"/>
              <w:rPr>
                <w:rFonts w:hAnsi="宋体" w:cs="宋体"/>
                <w:color w:val="000000"/>
                <w:sz w:val="24"/>
                <w:szCs w:val="24"/>
                <w:highlight w:val="none"/>
              </w:rPr>
            </w:pPr>
            <w:r>
              <w:rPr>
                <w:rFonts w:hint="eastAsia" w:hAnsi="宋体" w:cs="宋体"/>
                <w:color w:val="000000"/>
                <w:sz w:val="24"/>
                <w:szCs w:val="24"/>
                <w:highlight w:val="none"/>
              </w:rPr>
              <w:t>型号</w:t>
            </w: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备注</w:t>
            </w:r>
          </w:p>
        </w:tc>
      </w:tr>
      <w:tr>
        <w:tblPrEx>
          <w:tblCellMar>
            <w:top w:w="0" w:type="dxa"/>
            <w:left w:w="0" w:type="dxa"/>
            <w:bottom w:w="0" w:type="dxa"/>
            <w:right w:w="0" w:type="dxa"/>
          </w:tblCellMar>
        </w:tblPrEx>
        <w:trPr>
          <w:trHeight w:val="646"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r>
        <w:tblPrEx>
          <w:tblCellMar>
            <w:top w:w="0" w:type="dxa"/>
            <w:left w:w="0" w:type="dxa"/>
            <w:bottom w:w="0" w:type="dxa"/>
            <w:right w:w="0" w:type="dxa"/>
          </w:tblCellMar>
        </w:tblPrEx>
        <w:trPr>
          <w:trHeight w:val="541"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r>
        <w:tblPrEx>
          <w:tblCellMar>
            <w:top w:w="0" w:type="dxa"/>
            <w:left w:w="0" w:type="dxa"/>
            <w:bottom w:w="0" w:type="dxa"/>
            <w:right w:w="0" w:type="dxa"/>
          </w:tblCellMar>
        </w:tblPrEx>
        <w:trPr>
          <w:trHeight w:val="564"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bl>
    <w:p>
      <w:pPr>
        <w:ind w:right="-153"/>
        <w:rPr>
          <w:highlight w:val="none"/>
        </w:rPr>
      </w:pPr>
      <w:r>
        <w:rPr>
          <w:rFonts w:hint="eastAsia" w:cs="宋体"/>
          <w:sz w:val="24"/>
          <w:szCs w:val="24"/>
          <w:highlight w:val="none"/>
        </w:rPr>
        <w:t>耗材清单</w:t>
      </w:r>
    </w:p>
    <w:p>
      <w:pPr>
        <w:ind w:right="-153"/>
        <w:rPr>
          <w:sz w:val="24"/>
          <w:szCs w:val="24"/>
          <w:highlight w:val="none"/>
        </w:rPr>
      </w:pPr>
      <w:r>
        <w:rPr>
          <w:rFonts w:hint="eastAsia" w:hAnsi="宋体" w:cs="宋体"/>
          <w:sz w:val="24"/>
          <w:szCs w:val="24"/>
          <w:highlight w:val="none"/>
        </w:rPr>
        <w:t>（备注：下列耗材乙方报价有效期3年。</w:t>
      </w:r>
      <w:r>
        <w:rPr>
          <w:rFonts w:hint="eastAsia" w:cs="宋体"/>
          <w:sz w:val="24"/>
          <w:szCs w:val="24"/>
          <w:highlight w:val="none"/>
        </w:rPr>
        <w:t>）</w:t>
      </w:r>
    </w:p>
    <w:tbl>
      <w:tblPr>
        <w:tblStyle w:val="12"/>
        <w:tblW w:w="4992" w:type="pct"/>
        <w:tblInd w:w="0" w:type="dxa"/>
        <w:tblLayout w:type="fixed"/>
        <w:tblCellMar>
          <w:top w:w="0" w:type="dxa"/>
          <w:left w:w="0" w:type="dxa"/>
          <w:bottom w:w="0" w:type="dxa"/>
          <w:right w:w="0" w:type="dxa"/>
        </w:tblCellMar>
      </w:tblPr>
      <w:tblGrid>
        <w:gridCol w:w="1090"/>
        <w:gridCol w:w="1585"/>
        <w:gridCol w:w="1229"/>
        <w:gridCol w:w="1878"/>
        <w:gridCol w:w="1878"/>
        <w:gridCol w:w="1853"/>
      </w:tblGrid>
      <w:tr>
        <w:tblPrEx>
          <w:tblCellMar>
            <w:top w:w="0" w:type="dxa"/>
            <w:left w:w="0" w:type="dxa"/>
            <w:bottom w:w="0" w:type="dxa"/>
            <w:right w:w="0" w:type="dxa"/>
          </w:tblCellMar>
        </w:tblPrEx>
        <w:trPr>
          <w:trHeight w:val="675" w:hRule="atLeast"/>
        </w:trPr>
        <w:tc>
          <w:tcPr>
            <w:tcW w:w="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序号</w:t>
            </w:r>
          </w:p>
        </w:tc>
        <w:tc>
          <w:tcPr>
            <w:tcW w:w="8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名  称</w:t>
            </w: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规格</w:t>
            </w:r>
          </w:p>
        </w:tc>
        <w:tc>
          <w:tcPr>
            <w:tcW w:w="9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right="-153"/>
              <w:jc w:val="center"/>
              <w:rPr>
                <w:rFonts w:hAnsi="宋体" w:cs="宋体"/>
                <w:color w:val="000000"/>
                <w:sz w:val="24"/>
                <w:szCs w:val="24"/>
                <w:highlight w:val="none"/>
              </w:rPr>
            </w:pPr>
            <w:r>
              <w:rPr>
                <w:rFonts w:hint="eastAsia" w:hAnsi="宋体" w:cs="宋体"/>
                <w:color w:val="000000"/>
                <w:sz w:val="24"/>
                <w:szCs w:val="24"/>
                <w:highlight w:val="none"/>
              </w:rPr>
              <w:t>型号</w:t>
            </w:r>
          </w:p>
        </w:tc>
        <w:tc>
          <w:tcPr>
            <w:tcW w:w="9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rFonts w:hAnsi="宋体" w:cs="宋体"/>
                <w:color w:val="000000"/>
                <w:sz w:val="24"/>
                <w:szCs w:val="24"/>
                <w:highlight w:val="none"/>
              </w:rPr>
            </w:pPr>
            <w:r>
              <w:rPr>
                <w:rFonts w:hint="eastAsia" w:hAnsi="宋体" w:cs="宋体"/>
                <w:color w:val="000000"/>
                <w:sz w:val="24"/>
                <w:szCs w:val="24"/>
                <w:highlight w:val="none"/>
              </w:rPr>
              <w:t>单价（元）</w:t>
            </w:r>
          </w:p>
          <w:p>
            <w:pPr>
              <w:ind w:right="-153"/>
              <w:jc w:val="center"/>
              <w:rPr>
                <w:color w:val="000000"/>
                <w:sz w:val="24"/>
                <w:szCs w:val="24"/>
                <w:highlight w:val="none"/>
              </w:rPr>
            </w:pPr>
            <w:r>
              <w:rPr>
                <w:rFonts w:hint="eastAsia" w:hAnsi="宋体" w:cs="宋体"/>
                <w:color w:val="000000"/>
                <w:sz w:val="24"/>
                <w:szCs w:val="24"/>
                <w:highlight w:val="none"/>
              </w:rPr>
              <w:t>(含税)</w:t>
            </w:r>
          </w:p>
        </w:tc>
        <w:tc>
          <w:tcPr>
            <w:tcW w:w="9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药交所编码</w:t>
            </w:r>
          </w:p>
        </w:tc>
      </w:tr>
      <w:tr>
        <w:tblPrEx>
          <w:tblCellMar>
            <w:top w:w="0" w:type="dxa"/>
            <w:left w:w="0" w:type="dxa"/>
            <w:bottom w:w="0" w:type="dxa"/>
            <w:right w:w="0" w:type="dxa"/>
          </w:tblCellMar>
        </w:tblPrEx>
        <w:trPr>
          <w:trHeight w:val="646" w:hRule="atLeast"/>
        </w:trPr>
        <w:tc>
          <w:tcPr>
            <w:tcW w:w="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Ansi="宋体" w:cs="宋体"/>
                <w:sz w:val="22"/>
                <w:szCs w:val="22"/>
                <w:highlight w:val="none"/>
              </w:rPr>
            </w:pPr>
          </w:p>
        </w:tc>
        <w:tc>
          <w:tcPr>
            <w:tcW w:w="9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bl>
    <w:p>
      <w:pPr>
        <w:ind w:right="-153"/>
        <w:rPr>
          <w:rFonts w:cs="宋体"/>
          <w:sz w:val="24"/>
          <w:szCs w:val="24"/>
          <w:highlight w:val="none"/>
        </w:rPr>
      </w:pPr>
    </w:p>
    <w:p>
      <w:pPr>
        <w:tabs>
          <w:tab w:val="left" w:pos="6300"/>
        </w:tabs>
        <w:snapToGrid w:val="0"/>
        <w:spacing w:line="360" w:lineRule="auto"/>
        <w:ind w:firstLine="570"/>
        <w:rPr>
          <w:rFonts w:hAnsi="宋体" w:cs="宋体"/>
          <w:sz w:val="28"/>
          <w:szCs w:val="28"/>
          <w:highlight w:val="none"/>
        </w:rPr>
      </w:pPr>
      <w:r>
        <w:rPr>
          <w:sz w:val="24"/>
          <w:szCs w:val="24"/>
          <w:highlight w:val="none"/>
        </w:rPr>
        <w:br w:type="page"/>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（二）技术条款相关支撑资料（自附）</w:t>
      </w:r>
    </w:p>
    <w:p>
      <w:pPr>
        <w:rPr>
          <w:highlight w:val="none"/>
        </w:rPr>
      </w:pPr>
      <w:bookmarkStart w:id="90" w:name="_Toc509321009"/>
      <w:bookmarkStart w:id="91" w:name="_Toc492721039"/>
      <w:bookmarkStart w:id="92" w:name="_Toc19113867"/>
      <w:bookmarkStart w:id="93" w:name="_Toc493178791"/>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3"/>
        <w:rPr>
          <w:highlight w:val="none"/>
        </w:rPr>
      </w:pPr>
      <w:bookmarkStart w:id="94" w:name="_Toc98942907"/>
      <w:r>
        <w:rPr>
          <w:rFonts w:hint="eastAsia"/>
          <w:highlight w:val="none"/>
        </w:rPr>
        <w:t>三、商务文件</w:t>
      </w:r>
      <w:bookmarkEnd w:id="90"/>
      <w:bookmarkEnd w:id="91"/>
      <w:bookmarkEnd w:id="92"/>
      <w:bookmarkEnd w:id="93"/>
      <w:bookmarkEnd w:id="94"/>
    </w:p>
    <w:p>
      <w:pPr>
        <w:snapToGrid w:val="0"/>
        <w:spacing w:line="360" w:lineRule="auto"/>
        <w:jc w:val="center"/>
        <w:rPr>
          <w:rFonts w:hAnsi="宋体" w:cs="宋体"/>
          <w:sz w:val="28"/>
          <w:szCs w:val="28"/>
          <w:highlight w:val="none"/>
        </w:rPr>
      </w:pPr>
      <w:r>
        <w:rPr>
          <w:rFonts w:hint="eastAsia" w:hAnsi="宋体" w:cs="宋体"/>
          <w:sz w:val="28"/>
          <w:szCs w:val="28"/>
          <w:highlight w:val="none"/>
        </w:rPr>
        <w:t>（一）投标函（格式）</w:t>
      </w:r>
    </w:p>
    <w:p>
      <w:pPr>
        <w:spacing w:line="360" w:lineRule="auto"/>
        <w:rPr>
          <w:rFonts w:hAnsi="宋体" w:cs="宋体"/>
          <w:sz w:val="28"/>
          <w:szCs w:val="28"/>
          <w:highlight w:val="none"/>
          <w:u w:val="single"/>
        </w:rPr>
      </w:pPr>
      <w:r>
        <w:rPr>
          <w:rFonts w:hint="eastAsia" w:hAnsi="宋体" w:cs="宋体"/>
          <w:sz w:val="28"/>
          <w:szCs w:val="28"/>
          <w:highlight w:val="none"/>
          <w:lang w:eastAsia="zh-CN"/>
        </w:rPr>
        <w:t>采购项目</w:t>
      </w:r>
      <w:r>
        <w:rPr>
          <w:rFonts w:hint="eastAsia" w:hAnsi="宋体" w:cs="宋体"/>
          <w:sz w:val="28"/>
          <w:szCs w:val="28"/>
          <w:highlight w:val="none"/>
        </w:rPr>
        <w:t>名称：</w:t>
      </w:r>
    </w:p>
    <w:p>
      <w:pPr>
        <w:tabs>
          <w:tab w:val="left" w:pos="6300"/>
        </w:tabs>
        <w:snapToGrid w:val="0"/>
        <w:spacing w:line="360" w:lineRule="auto"/>
        <w:rPr>
          <w:rFonts w:hAnsi="宋体" w:cs="宋体"/>
          <w:sz w:val="28"/>
          <w:szCs w:val="28"/>
          <w:highlight w:val="none"/>
        </w:rPr>
      </w:pPr>
      <w:r>
        <w:rPr>
          <w:rFonts w:hint="eastAsia" w:hAnsi="宋体" w:cs="宋体"/>
          <w:sz w:val="28"/>
          <w:szCs w:val="28"/>
          <w:highlight w:val="none"/>
        </w:rPr>
        <w:t>致：（</w:t>
      </w:r>
      <w:r>
        <w:rPr>
          <w:rFonts w:hint="eastAsia" w:hAnsi="宋体" w:cs="宋体"/>
          <w:sz w:val="28"/>
          <w:szCs w:val="28"/>
          <w:highlight w:val="none"/>
          <w:u w:val="single"/>
        </w:rPr>
        <w:t>采购人名称</w:t>
      </w:r>
      <w:r>
        <w:rPr>
          <w:rFonts w:hint="eastAsia" w:hAnsi="宋体" w:cs="宋体"/>
          <w:sz w:val="28"/>
          <w:szCs w:val="28"/>
          <w:highlight w:val="none"/>
        </w:rPr>
        <w:t>）：</w:t>
      </w:r>
    </w:p>
    <w:p>
      <w:pPr>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w:t>
      </w:r>
      <w:r>
        <w:rPr>
          <w:rFonts w:hint="eastAsia" w:hAnsi="宋体" w:cs="宋体"/>
          <w:sz w:val="28"/>
          <w:szCs w:val="28"/>
          <w:highlight w:val="none"/>
          <w:u w:val="single"/>
        </w:rPr>
        <w:t>投标人名称</w:t>
      </w:r>
      <w:r>
        <w:rPr>
          <w:rFonts w:hint="eastAsia" w:hAnsi="宋体" w:cs="宋体"/>
          <w:sz w:val="28"/>
          <w:szCs w:val="28"/>
          <w:highlight w:val="none"/>
        </w:rPr>
        <w:t>）系中华人民共和国合法企业，注册地址：</w:t>
      </w:r>
      <w:r>
        <w:rPr>
          <w:rFonts w:hint="eastAsia" w:hAnsi="宋体" w:cs="宋体"/>
          <w:sz w:val="28"/>
          <w:szCs w:val="28"/>
          <w:highlight w:val="none"/>
          <w:u w:val="single"/>
          <w:lang w:val="en-US" w:eastAsia="zh-CN"/>
        </w:rPr>
        <w:t xml:space="preserve">        </w:t>
      </w:r>
      <w:r>
        <w:rPr>
          <w:rFonts w:hint="eastAsia" w:hAnsi="宋体" w:cs="宋体"/>
          <w:sz w:val="28"/>
          <w:szCs w:val="28"/>
          <w:highlight w:val="none"/>
          <w:lang w:val="en-US" w:eastAsia="zh-CN"/>
        </w:rPr>
        <w:t xml:space="preserve"> </w:t>
      </w:r>
      <w:r>
        <w:rPr>
          <w:rFonts w:hint="eastAsia" w:hAnsi="宋体" w:cs="宋体"/>
          <w:sz w:val="28"/>
          <w:szCs w:val="28"/>
          <w:highlight w:val="none"/>
        </w:rPr>
        <w:t>。我方就参加本次投标有关事项郑重声明如下：</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一、我方完全理解并接受该项目</w:t>
      </w:r>
      <w:r>
        <w:rPr>
          <w:rFonts w:hint="eastAsia" w:hAnsi="宋体" w:cs="宋体"/>
          <w:sz w:val="28"/>
          <w:szCs w:val="28"/>
          <w:highlight w:val="none"/>
          <w:lang w:eastAsia="zh-CN"/>
        </w:rPr>
        <w:t>竞争性比选文件</w:t>
      </w:r>
      <w:r>
        <w:rPr>
          <w:rFonts w:hint="eastAsia" w:hAnsi="宋体" w:cs="宋体"/>
          <w:sz w:val="28"/>
          <w:szCs w:val="28"/>
          <w:highlight w:val="none"/>
        </w:rPr>
        <w:t>所有要求。</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二、我方提交的所有</w:t>
      </w:r>
      <w:r>
        <w:rPr>
          <w:rFonts w:hint="eastAsia" w:hAnsi="宋体" w:cs="宋体"/>
          <w:sz w:val="28"/>
          <w:szCs w:val="28"/>
          <w:highlight w:val="none"/>
          <w:lang w:eastAsia="zh-CN"/>
        </w:rPr>
        <w:t>响应文件</w:t>
      </w:r>
      <w:r>
        <w:rPr>
          <w:rFonts w:hint="eastAsia" w:hAnsi="宋体" w:cs="宋体"/>
          <w:sz w:val="28"/>
          <w:szCs w:val="28"/>
          <w:highlight w:val="none"/>
        </w:rPr>
        <w:t>、资料都是准确和真实的，如有虚假或隐瞒，我方愿意承担一切法律责任。</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三、我方承诺按照</w:t>
      </w:r>
      <w:r>
        <w:rPr>
          <w:rFonts w:hint="eastAsia" w:hAnsi="宋体" w:cs="宋体"/>
          <w:sz w:val="28"/>
          <w:szCs w:val="28"/>
          <w:highlight w:val="none"/>
          <w:lang w:eastAsia="zh-CN"/>
        </w:rPr>
        <w:t>竞争性比选文件</w:t>
      </w:r>
      <w:r>
        <w:rPr>
          <w:rFonts w:hint="eastAsia" w:hAnsi="宋体" w:cs="宋体"/>
          <w:sz w:val="28"/>
          <w:szCs w:val="28"/>
          <w:highlight w:val="none"/>
        </w:rPr>
        <w:t>要求，提供</w:t>
      </w:r>
      <w:r>
        <w:rPr>
          <w:rFonts w:hint="eastAsia" w:hAnsi="宋体" w:cs="宋体"/>
          <w:sz w:val="28"/>
          <w:szCs w:val="28"/>
          <w:highlight w:val="none"/>
          <w:lang w:eastAsia="zh-CN"/>
        </w:rPr>
        <w:t>采购项目</w:t>
      </w:r>
      <w:r>
        <w:rPr>
          <w:rFonts w:hint="eastAsia" w:hAnsi="宋体" w:cs="宋体"/>
          <w:sz w:val="28"/>
          <w:szCs w:val="28"/>
          <w:highlight w:val="none"/>
        </w:rPr>
        <w:t>的货物和服务。</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四、我方按</w:t>
      </w:r>
      <w:r>
        <w:rPr>
          <w:rFonts w:hint="eastAsia" w:hAnsi="宋体" w:cs="宋体"/>
          <w:sz w:val="28"/>
          <w:szCs w:val="28"/>
          <w:highlight w:val="none"/>
          <w:lang w:eastAsia="zh-CN"/>
        </w:rPr>
        <w:t>竞争性比选文件</w:t>
      </w:r>
      <w:r>
        <w:rPr>
          <w:rFonts w:hint="eastAsia" w:hAnsi="宋体" w:cs="宋体"/>
          <w:sz w:val="28"/>
          <w:szCs w:val="28"/>
          <w:highlight w:val="none"/>
        </w:rPr>
        <w:t>要求提交的</w:t>
      </w:r>
      <w:r>
        <w:rPr>
          <w:rFonts w:hint="eastAsia" w:hAnsi="宋体" w:cs="宋体"/>
          <w:sz w:val="28"/>
          <w:szCs w:val="28"/>
          <w:highlight w:val="none"/>
          <w:lang w:eastAsia="zh-CN"/>
        </w:rPr>
        <w:t>响应文件</w:t>
      </w:r>
      <w:r>
        <w:rPr>
          <w:rFonts w:hint="eastAsia" w:hAnsi="宋体" w:cs="宋体"/>
          <w:sz w:val="28"/>
          <w:szCs w:val="28"/>
          <w:highlight w:val="none"/>
        </w:rPr>
        <w:t>为：</w:t>
      </w:r>
      <w:r>
        <w:rPr>
          <w:rFonts w:hint="eastAsia" w:hAnsi="宋体" w:cs="宋体"/>
          <w:sz w:val="28"/>
          <w:szCs w:val="28"/>
          <w:highlight w:val="none"/>
          <w:lang w:eastAsia="zh-CN"/>
        </w:rPr>
        <w:t>响应文件</w:t>
      </w:r>
      <w:r>
        <w:rPr>
          <w:rFonts w:hint="eastAsia" w:hAnsi="宋体" w:cs="宋体"/>
          <w:sz w:val="28"/>
          <w:szCs w:val="28"/>
          <w:highlight w:val="none"/>
        </w:rPr>
        <w:t>正本1份，副本1份。</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五、我方承诺：本次投标的投标有效期为90天。</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六、我方投标报价为闭口价。即在投标有效期和合同有效期内，该报价固定不变。</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七、如果我方中标，我方将履行</w:t>
      </w:r>
      <w:r>
        <w:rPr>
          <w:rFonts w:hint="eastAsia" w:hAnsi="宋体" w:cs="宋体"/>
          <w:sz w:val="28"/>
          <w:szCs w:val="28"/>
          <w:highlight w:val="none"/>
          <w:lang w:eastAsia="zh-CN"/>
        </w:rPr>
        <w:t>竞争性比选文件</w:t>
      </w:r>
      <w:r>
        <w:rPr>
          <w:rFonts w:hint="eastAsia" w:hAnsi="宋体" w:cs="宋体"/>
          <w:sz w:val="28"/>
          <w:szCs w:val="28"/>
          <w:highlight w:val="none"/>
        </w:rPr>
        <w:t>中规定的各项要求以及我方</w:t>
      </w:r>
      <w:r>
        <w:rPr>
          <w:rFonts w:hint="eastAsia" w:hAnsi="宋体" w:cs="宋体"/>
          <w:sz w:val="28"/>
          <w:szCs w:val="28"/>
          <w:highlight w:val="none"/>
          <w:lang w:eastAsia="zh-CN"/>
        </w:rPr>
        <w:t>响应文件</w:t>
      </w:r>
      <w:r>
        <w:rPr>
          <w:rFonts w:hint="eastAsia" w:hAnsi="宋体" w:cs="宋体"/>
          <w:sz w:val="28"/>
          <w:szCs w:val="28"/>
          <w:highlight w:val="none"/>
        </w:rPr>
        <w:t>的各项承诺，按《政府采购法》、《</w:t>
      </w:r>
      <w:r>
        <w:rPr>
          <w:rFonts w:hint="eastAsia" w:hAnsi="宋体" w:cs="宋体"/>
          <w:sz w:val="28"/>
          <w:szCs w:val="28"/>
          <w:highlight w:val="none"/>
          <w:lang w:eastAsia="zh-CN"/>
        </w:rPr>
        <w:t>民法典</w:t>
      </w:r>
      <w:r>
        <w:rPr>
          <w:rFonts w:hint="eastAsia" w:hAnsi="宋体" w:cs="宋体"/>
          <w:sz w:val="28"/>
          <w:szCs w:val="28"/>
          <w:highlight w:val="none"/>
        </w:rPr>
        <w:t>》及合同约定条款承担我方责任。</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八、我方理解，最低报价不是中标的唯一条件。</w:t>
      </w:r>
    </w:p>
    <w:p>
      <w:pPr>
        <w:tabs>
          <w:tab w:val="left" w:pos="6300"/>
        </w:tabs>
        <w:snapToGrid w:val="0"/>
        <w:spacing w:line="360" w:lineRule="auto"/>
        <w:ind w:firstLine="7210" w:firstLineChars="2575"/>
        <w:rPr>
          <w:rFonts w:hAnsi="宋体" w:cs="宋体"/>
          <w:sz w:val="28"/>
          <w:szCs w:val="28"/>
          <w:highlight w:val="none"/>
        </w:rPr>
      </w:pPr>
    </w:p>
    <w:p>
      <w:pPr>
        <w:tabs>
          <w:tab w:val="left" w:pos="6300"/>
        </w:tabs>
        <w:snapToGrid w:val="0"/>
        <w:spacing w:line="360" w:lineRule="auto"/>
        <w:ind w:firstLine="7210" w:firstLineChars="2575"/>
        <w:rPr>
          <w:rFonts w:hAnsi="宋体" w:cs="宋体"/>
          <w:sz w:val="28"/>
          <w:szCs w:val="28"/>
          <w:highlight w:val="none"/>
        </w:rPr>
      </w:pPr>
      <w:r>
        <w:rPr>
          <w:rFonts w:hint="eastAsia" w:hAnsi="宋体" w:cs="宋体"/>
          <w:sz w:val="28"/>
          <w:szCs w:val="28"/>
          <w:highlight w:val="none"/>
        </w:rPr>
        <w:t>（投标人公章）</w:t>
      </w:r>
    </w:p>
    <w:p>
      <w:pPr>
        <w:tabs>
          <w:tab w:val="left" w:pos="6300"/>
        </w:tabs>
        <w:snapToGrid w:val="0"/>
        <w:spacing w:line="360" w:lineRule="auto"/>
        <w:ind w:firstLine="6720" w:firstLineChars="2400"/>
        <w:jc w:val="center"/>
        <w:rPr>
          <w:rFonts w:hAnsi="宋体" w:cs="宋体"/>
          <w:sz w:val="28"/>
          <w:szCs w:val="28"/>
          <w:highlight w:val="none"/>
        </w:rPr>
      </w:pPr>
      <w:r>
        <w:rPr>
          <w:rFonts w:hint="eastAsia" w:hAnsi="宋体" w:cs="宋体"/>
          <w:sz w:val="28"/>
          <w:szCs w:val="28"/>
          <w:highlight w:val="none"/>
        </w:rPr>
        <w:t>年    月   日</w:t>
      </w:r>
      <w:r>
        <w:rPr>
          <w:rFonts w:hint="eastAsia" w:hAnsi="宋体" w:cs="宋体"/>
          <w:sz w:val="28"/>
          <w:szCs w:val="28"/>
          <w:highlight w:val="none"/>
        </w:rPr>
        <w:br w:type="page"/>
      </w:r>
      <w:bookmarkStart w:id="95" w:name="_Toc19113868"/>
      <w:r>
        <w:rPr>
          <w:rFonts w:hint="eastAsia" w:hAnsi="宋体" w:cs="宋体"/>
          <w:sz w:val="28"/>
          <w:szCs w:val="28"/>
          <w:highlight w:val="none"/>
        </w:rPr>
        <w:t>（二）商务条款差异表</w:t>
      </w:r>
      <w:bookmarkEnd w:id="95"/>
    </w:p>
    <w:p>
      <w:pPr>
        <w:spacing w:line="360" w:lineRule="auto"/>
        <w:jc w:val="left"/>
        <w:rPr>
          <w:rFonts w:hAnsi="宋体" w:cs="宋体"/>
          <w:sz w:val="28"/>
          <w:szCs w:val="28"/>
          <w:highlight w:val="none"/>
        </w:rPr>
      </w:pPr>
      <w:bookmarkStart w:id="96" w:name="_Toc19113869"/>
      <w:r>
        <w:rPr>
          <w:rFonts w:hint="eastAsia" w:hAnsi="宋体" w:cs="宋体"/>
          <w:sz w:val="28"/>
          <w:szCs w:val="28"/>
          <w:highlight w:val="none"/>
        </w:rPr>
        <w:t xml:space="preserve">         </w:t>
      </w:r>
      <w:r>
        <w:rPr>
          <w:rFonts w:hint="eastAsia" w:hAnsi="宋体" w:cs="宋体"/>
          <w:sz w:val="28"/>
          <w:szCs w:val="28"/>
          <w:highlight w:val="none"/>
          <w:lang w:eastAsia="zh-CN"/>
        </w:rPr>
        <w:t>采购项目</w:t>
      </w:r>
      <w:r>
        <w:rPr>
          <w:rFonts w:hint="eastAsia" w:hAnsi="宋体" w:cs="宋体"/>
          <w:sz w:val="28"/>
          <w:szCs w:val="28"/>
          <w:highlight w:val="none"/>
        </w:rPr>
        <w:t>名称：</w:t>
      </w:r>
      <w:bookmarkEnd w:id="96"/>
    </w:p>
    <w:tbl>
      <w:tblPr>
        <w:tblStyle w:val="12"/>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spacing w:line="360" w:lineRule="auto"/>
              <w:jc w:val="center"/>
              <w:rPr>
                <w:rFonts w:hAnsi="宋体" w:cs="宋体"/>
                <w:sz w:val="28"/>
                <w:szCs w:val="28"/>
                <w:highlight w:val="none"/>
              </w:rPr>
            </w:pPr>
            <w:bookmarkStart w:id="97" w:name="_Toc19113870"/>
            <w:r>
              <w:rPr>
                <w:rFonts w:hint="eastAsia" w:hAnsi="宋体" w:cs="宋体"/>
                <w:sz w:val="28"/>
                <w:szCs w:val="28"/>
                <w:highlight w:val="none"/>
              </w:rPr>
              <w:t>序号</w:t>
            </w:r>
            <w:bookmarkEnd w:id="97"/>
          </w:p>
        </w:tc>
        <w:tc>
          <w:tcPr>
            <w:tcW w:w="2428" w:type="dxa"/>
            <w:vAlign w:val="center"/>
          </w:tcPr>
          <w:p>
            <w:pPr>
              <w:spacing w:line="360" w:lineRule="auto"/>
              <w:jc w:val="center"/>
              <w:rPr>
                <w:rFonts w:hAnsi="宋体" w:cs="宋体"/>
                <w:sz w:val="28"/>
                <w:szCs w:val="28"/>
                <w:highlight w:val="none"/>
              </w:rPr>
            </w:pPr>
            <w:bookmarkStart w:id="98" w:name="_Toc19113871"/>
            <w:r>
              <w:rPr>
                <w:rFonts w:hint="eastAsia" w:hAnsi="宋体" w:cs="宋体"/>
                <w:sz w:val="28"/>
                <w:szCs w:val="28"/>
                <w:highlight w:val="none"/>
              </w:rPr>
              <w:t>招标商务要求</w:t>
            </w:r>
            <w:bookmarkEnd w:id="98"/>
          </w:p>
        </w:tc>
        <w:tc>
          <w:tcPr>
            <w:tcW w:w="2520" w:type="dxa"/>
            <w:vAlign w:val="center"/>
          </w:tcPr>
          <w:p>
            <w:pPr>
              <w:spacing w:line="360" w:lineRule="auto"/>
              <w:jc w:val="center"/>
              <w:rPr>
                <w:rFonts w:hAnsi="宋体" w:cs="宋体"/>
                <w:sz w:val="28"/>
                <w:szCs w:val="28"/>
                <w:highlight w:val="none"/>
              </w:rPr>
            </w:pPr>
            <w:bookmarkStart w:id="99" w:name="_Toc19113872"/>
            <w:r>
              <w:rPr>
                <w:rFonts w:hint="eastAsia" w:hAnsi="宋体" w:cs="宋体"/>
                <w:sz w:val="28"/>
                <w:szCs w:val="28"/>
                <w:highlight w:val="none"/>
              </w:rPr>
              <w:t>投标商务应答</w:t>
            </w:r>
            <w:bookmarkEnd w:id="99"/>
          </w:p>
        </w:tc>
        <w:tc>
          <w:tcPr>
            <w:tcW w:w="1888" w:type="dxa"/>
            <w:vAlign w:val="center"/>
          </w:tcPr>
          <w:p>
            <w:pPr>
              <w:spacing w:line="360" w:lineRule="auto"/>
              <w:jc w:val="center"/>
              <w:rPr>
                <w:rFonts w:hAnsi="宋体" w:cs="宋体"/>
                <w:sz w:val="28"/>
                <w:szCs w:val="28"/>
                <w:highlight w:val="none"/>
              </w:rPr>
            </w:pPr>
            <w:bookmarkStart w:id="100" w:name="_Toc19113873"/>
            <w:r>
              <w:rPr>
                <w:rFonts w:hint="eastAsia" w:hAnsi="宋体" w:cs="宋体"/>
                <w:sz w:val="28"/>
                <w:szCs w:val="28"/>
                <w:highlight w:val="none"/>
              </w:rPr>
              <w:t>差异说明</w:t>
            </w:r>
            <w:bookmarkEnd w:id="10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spacing w:line="360" w:lineRule="auto"/>
              <w:rPr>
                <w:rFonts w:hAnsi="宋体" w:cs="宋体"/>
                <w:sz w:val="28"/>
                <w:szCs w:val="28"/>
                <w:highlight w:val="none"/>
              </w:rPr>
            </w:pPr>
          </w:p>
        </w:tc>
        <w:tc>
          <w:tcPr>
            <w:tcW w:w="2428" w:type="dxa"/>
            <w:vAlign w:val="center"/>
          </w:tcPr>
          <w:p>
            <w:pPr>
              <w:spacing w:line="360" w:lineRule="auto"/>
              <w:rPr>
                <w:rFonts w:hAnsi="宋体" w:cs="宋体"/>
                <w:sz w:val="28"/>
                <w:szCs w:val="28"/>
                <w:highlight w:val="none"/>
              </w:rPr>
            </w:pPr>
          </w:p>
        </w:tc>
        <w:tc>
          <w:tcPr>
            <w:tcW w:w="2520" w:type="dxa"/>
            <w:vAlign w:val="center"/>
          </w:tcPr>
          <w:p>
            <w:pPr>
              <w:spacing w:line="360" w:lineRule="auto"/>
              <w:rPr>
                <w:rFonts w:hAnsi="宋体" w:cs="宋体"/>
                <w:sz w:val="28"/>
                <w:szCs w:val="28"/>
                <w:highlight w:val="none"/>
              </w:rPr>
            </w:pPr>
          </w:p>
        </w:tc>
        <w:tc>
          <w:tcPr>
            <w:tcW w:w="1888" w:type="dxa"/>
            <w:vAlign w:val="center"/>
          </w:tcPr>
          <w:p>
            <w:pPr>
              <w:spacing w:line="360" w:lineRule="auto"/>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bl>
    <w:p>
      <w:pPr>
        <w:spacing w:line="360" w:lineRule="auto"/>
        <w:ind w:firstLine="700" w:firstLineChars="250"/>
        <w:rPr>
          <w:rFonts w:hAnsi="宋体" w:cs="宋体"/>
          <w:sz w:val="28"/>
          <w:szCs w:val="28"/>
          <w:highlight w:val="none"/>
        </w:rPr>
      </w:pPr>
      <w:r>
        <w:rPr>
          <w:rFonts w:hint="eastAsia" w:hAnsi="宋体" w:cs="宋体"/>
          <w:sz w:val="28"/>
          <w:szCs w:val="28"/>
          <w:highlight w:val="none"/>
        </w:rPr>
        <w:t xml:space="preserve">    投标人：                    法定代表人或法定代表人授权代表：</w:t>
      </w:r>
    </w:p>
    <w:p>
      <w:pPr>
        <w:spacing w:line="360" w:lineRule="auto"/>
        <w:rPr>
          <w:rFonts w:hAnsi="宋体" w:cs="宋体"/>
          <w:sz w:val="28"/>
          <w:szCs w:val="28"/>
          <w:highlight w:val="none"/>
        </w:rPr>
      </w:pPr>
    </w:p>
    <w:p>
      <w:pPr>
        <w:spacing w:line="360" w:lineRule="auto"/>
        <w:rPr>
          <w:rFonts w:hAnsi="宋体" w:cs="宋体"/>
          <w:sz w:val="28"/>
          <w:szCs w:val="28"/>
          <w:highlight w:val="none"/>
        </w:rPr>
      </w:pPr>
      <w:r>
        <w:rPr>
          <w:rFonts w:hint="eastAsia" w:hAnsi="宋体" w:cs="宋体"/>
          <w:sz w:val="28"/>
          <w:szCs w:val="28"/>
          <w:highlight w:val="none"/>
        </w:rPr>
        <w:t xml:space="preserve">        （投标人公章）                               （签字或盖章）</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 xml:space="preserve">                                              年     月     日</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注：</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1.本表即为对本项目“商务要求”中所列商务条款进行比较和响应；</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2.该表必须按照</w:t>
      </w:r>
      <w:r>
        <w:rPr>
          <w:rFonts w:hint="eastAsia" w:hAnsi="宋体" w:cs="宋体"/>
          <w:sz w:val="28"/>
          <w:szCs w:val="28"/>
          <w:highlight w:val="none"/>
          <w:lang w:eastAsia="zh-CN"/>
        </w:rPr>
        <w:t>竞争性比选文件</w:t>
      </w:r>
      <w:r>
        <w:rPr>
          <w:rFonts w:hint="eastAsia" w:hAnsi="宋体" w:cs="宋体"/>
          <w:sz w:val="28"/>
          <w:szCs w:val="28"/>
          <w:highlight w:val="none"/>
        </w:rPr>
        <w:t>要求逐条如实填写，根据投标情况在“差异说明”项填写正偏离或负偏离及原因，完全符合的填写“无差异”。</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3.该表可扩展。</w:t>
      </w:r>
    </w:p>
    <w:p>
      <w:pPr>
        <w:jc w:val="center"/>
        <w:rPr>
          <w:highlight w:val="none"/>
        </w:rPr>
      </w:pPr>
      <w:r>
        <w:rPr>
          <w:rFonts w:hint="eastAsia"/>
          <w:highlight w:val="none"/>
        </w:rPr>
        <w:br w:type="page"/>
      </w:r>
      <w:bookmarkStart w:id="101" w:name="_Toc19113874"/>
      <w:r>
        <w:rPr>
          <w:rFonts w:hint="eastAsia"/>
          <w:highlight w:val="none"/>
        </w:rPr>
        <w:t>（三）商务条款相关支撑资料</w:t>
      </w:r>
      <w:bookmarkEnd w:id="101"/>
      <w:r>
        <w:rPr>
          <w:rFonts w:hint="eastAsia"/>
          <w:highlight w:val="none"/>
        </w:rPr>
        <w:t>（自附）</w:t>
      </w:r>
    </w:p>
    <w:p>
      <w:pPr>
        <w:tabs>
          <w:tab w:val="left" w:pos="6300"/>
        </w:tabs>
        <w:snapToGrid w:val="0"/>
        <w:spacing w:line="360" w:lineRule="auto"/>
        <w:outlineLvl w:val="0"/>
        <w:rPr>
          <w:rFonts w:hAnsi="宋体" w:cs="宋体"/>
          <w:sz w:val="28"/>
          <w:szCs w:val="28"/>
          <w:highlight w:val="none"/>
        </w:rPr>
      </w:pPr>
      <w:bookmarkStart w:id="102" w:name="_Toc492721041"/>
      <w:bookmarkStart w:id="103" w:name="_Toc493178792"/>
      <w:bookmarkStart w:id="104" w:name="_Toc509321010"/>
      <w:bookmarkStart w:id="105" w:name="_Toc19113879"/>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pStyle w:val="3"/>
        <w:rPr>
          <w:highlight w:val="none"/>
        </w:rPr>
      </w:pPr>
      <w:bookmarkStart w:id="106" w:name="_Toc98942908"/>
      <w:r>
        <w:rPr>
          <w:rFonts w:hint="eastAsia"/>
          <w:highlight w:val="none"/>
        </w:rPr>
        <w:t>四、</w:t>
      </w:r>
      <w:bookmarkEnd w:id="102"/>
      <w:bookmarkEnd w:id="103"/>
      <w:bookmarkEnd w:id="104"/>
      <w:r>
        <w:rPr>
          <w:rFonts w:hint="eastAsia"/>
          <w:highlight w:val="none"/>
        </w:rPr>
        <w:t>其他与项目有关的资料（自附）</w:t>
      </w:r>
      <w:bookmarkEnd w:id="105"/>
      <w:bookmarkEnd w:id="106"/>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pStyle w:val="3"/>
        <w:rPr>
          <w:highlight w:val="none"/>
        </w:rPr>
      </w:pPr>
      <w:bookmarkStart w:id="107" w:name="_Toc509321011"/>
      <w:bookmarkStart w:id="108" w:name="_Toc98942909"/>
      <w:bookmarkStart w:id="109" w:name="_Toc19113880"/>
      <w:bookmarkStart w:id="110" w:name="_Toc493178793"/>
      <w:bookmarkStart w:id="111" w:name="_Toc492721038"/>
      <w:r>
        <w:rPr>
          <w:rFonts w:hint="eastAsia"/>
          <w:highlight w:val="none"/>
        </w:rPr>
        <w:t>五、资格文件</w:t>
      </w:r>
      <w:bookmarkEnd w:id="107"/>
      <w:bookmarkEnd w:id="108"/>
      <w:bookmarkEnd w:id="109"/>
      <w:bookmarkEnd w:id="110"/>
      <w:bookmarkEnd w:id="111"/>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（一）营业执照（副本）或事业单位法人证书（副本）复印件</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widowControl/>
        <w:spacing w:line="360" w:lineRule="auto"/>
        <w:ind w:firstLine="560" w:firstLineChars="200"/>
        <w:jc w:val="left"/>
        <w:rPr>
          <w:rFonts w:hAnsi="宋体" w:cs="宋体"/>
          <w:sz w:val="28"/>
          <w:szCs w:val="28"/>
          <w:highlight w:val="none"/>
        </w:rPr>
      </w:pPr>
      <w:r>
        <w:rPr>
          <w:rFonts w:hint="eastAsia" w:hAnsi="宋体" w:cs="宋体"/>
          <w:sz w:val="28"/>
          <w:szCs w:val="28"/>
          <w:highlight w:val="none"/>
        </w:rPr>
        <w:t>（二）法定代表人身份证明书（格式）</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lang w:eastAsia="zh-CN"/>
        </w:rPr>
        <w:t>采购项目</w:t>
      </w:r>
      <w:r>
        <w:rPr>
          <w:rFonts w:hint="eastAsia" w:hAnsi="宋体" w:cs="宋体"/>
          <w:sz w:val="28"/>
          <w:szCs w:val="28"/>
          <w:highlight w:val="none"/>
        </w:rPr>
        <w:t>名称：</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致：（采购人名称）：</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（法定代表人姓名）在（投标人名称）任（职务名称）职务，是（投标人名称）的法定代表人。</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特此证明。</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 xml:space="preserve">                                             （投标人公章）</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 xml:space="preserve">                                             年   月   日</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（附：法定代表人身份证正反面复印件）</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br w:type="column"/>
      </w:r>
      <w:r>
        <w:rPr>
          <w:rFonts w:hint="eastAsia" w:hAnsi="宋体" w:cs="宋体"/>
          <w:sz w:val="28"/>
          <w:szCs w:val="28"/>
          <w:highlight w:val="none"/>
        </w:rPr>
        <w:t>（三）法定代表人授权委托书（格式）</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 xml:space="preserve">    </w:t>
      </w:r>
      <w:r>
        <w:rPr>
          <w:rFonts w:hint="eastAsia" w:hAnsi="宋体" w:cs="宋体"/>
          <w:sz w:val="28"/>
          <w:szCs w:val="28"/>
          <w:highlight w:val="none"/>
          <w:lang w:eastAsia="zh-CN"/>
        </w:rPr>
        <w:t>采购项目</w:t>
      </w:r>
      <w:r>
        <w:rPr>
          <w:rFonts w:hint="eastAsia" w:hAnsi="宋体" w:cs="宋体"/>
          <w:sz w:val="28"/>
          <w:szCs w:val="28"/>
          <w:highlight w:val="none"/>
        </w:rPr>
        <w:t>名称：</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致：（采购人名称）：</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（投标人法定代表人名称）是（投标人名称）的法定代表人，特授权（被授权人</w:t>
      </w:r>
      <w:r>
        <w:rPr>
          <w:rFonts w:hint="eastAsia" w:hAnsi="宋体" w:cs="宋体"/>
          <w:sz w:val="28"/>
          <w:szCs w:val="28"/>
          <w:highlight w:val="none"/>
          <w:u w:val="single"/>
        </w:rPr>
        <w:t>姓名</w:t>
      </w:r>
      <w:r>
        <w:rPr>
          <w:rFonts w:hint="eastAsia" w:hAnsi="宋体" w:cs="宋体"/>
          <w:sz w:val="28"/>
          <w:szCs w:val="28"/>
          <w:highlight w:val="none"/>
        </w:rPr>
        <w:t>及</w:t>
      </w:r>
      <w:r>
        <w:rPr>
          <w:rFonts w:hint="eastAsia" w:hAnsi="宋体" w:cs="宋体"/>
          <w:sz w:val="28"/>
          <w:szCs w:val="28"/>
          <w:highlight w:val="none"/>
          <w:u w:val="single"/>
        </w:rPr>
        <w:t>身份证号码</w:t>
      </w:r>
      <w:r>
        <w:rPr>
          <w:rFonts w:hint="eastAsia" w:hAnsi="宋体" w:cs="宋体"/>
          <w:sz w:val="28"/>
          <w:szCs w:val="28"/>
          <w:highlight w:val="none"/>
        </w:rPr>
        <w:t>）代表我单位全权办理上述项目的投标、谈判、签约等具体工作，并签署全部有关文件、协议及合同。</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我单位对被授权人的签字负全部责任。</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在撤消授权的书面通知以前，本授权书一直有效。被授权人在授权书有效期内签署的所有文件不因授权的撤消而失效。</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被授权人：                                 投标人法定代表人：</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（签字或盖章）                                （签字或盖章）</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（附：被授权人身份证正反面复印件）</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right="480" w:firstLine="570"/>
        <w:jc w:val="right"/>
        <w:rPr>
          <w:rFonts w:hAnsi="宋体" w:cs="宋体"/>
          <w:sz w:val="28"/>
          <w:szCs w:val="28"/>
          <w:highlight w:val="none"/>
        </w:rPr>
      </w:pPr>
      <w:r>
        <w:rPr>
          <w:rFonts w:hint="eastAsia" w:hAnsi="宋体" w:cs="宋体"/>
          <w:sz w:val="28"/>
          <w:szCs w:val="28"/>
          <w:highlight w:val="none"/>
        </w:rPr>
        <w:t>（投标人公章）</w:t>
      </w:r>
    </w:p>
    <w:p>
      <w:pPr>
        <w:tabs>
          <w:tab w:val="left" w:pos="6300"/>
        </w:tabs>
        <w:snapToGrid w:val="0"/>
        <w:spacing w:line="360" w:lineRule="auto"/>
        <w:ind w:right="480" w:firstLine="570"/>
        <w:jc w:val="right"/>
        <w:rPr>
          <w:rFonts w:hAnsi="宋体" w:cs="宋体"/>
          <w:sz w:val="28"/>
          <w:szCs w:val="28"/>
          <w:highlight w:val="none"/>
        </w:rPr>
      </w:pPr>
      <w:r>
        <w:rPr>
          <w:rFonts w:hint="eastAsia" w:hAnsi="宋体" w:cs="宋体"/>
          <w:sz w:val="28"/>
          <w:szCs w:val="28"/>
          <w:highlight w:val="none"/>
        </w:rPr>
        <w:t>年   月   日</w:t>
      </w:r>
    </w:p>
    <w:p>
      <w:pPr>
        <w:tabs>
          <w:tab w:val="left" w:pos="6300"/>
        </w:tabs>
        <w:snapToGrid w:val="0"/>
        <w:spacing w:line="360" w:lineRule="auto"/>
        <w:ind w:right="480" w:firstLine="570"/>
        <w:jc w:val="right"/>
        <w:rPr>
          <w:rFonts w:hAnsi="宋体" w:cs="宋体"/>
          <w:sz w:val="28"/>
          <w:szCs w:val="28"/>
          <w:highlight w:val="none"/>
        </w:rPr>
      </w:pPr>
    </w:p>
    <w:p>
      <w:pPr>
        <w:tabs>
          <w:tab w:val="left" w:pos="6300"/>
        </w:tabs>
        <w:snapToGrid w:val="0"/>
        <w:spacing w:line="360" w:lineRule="auto"/>
        <w:ind w:right="480" w:firstLine="570"/>
        <w:jc w:val="left"/>
        <w:rPr>
          <w:rFonts w:hAnsi="宋体" w:cs="宋体"/>
          <w:sz w:val="28"/>
          <w:szCs w:val="28"/>
          <w:highlight w:val="none"/>
        </w:rPr>
      </w:pPr>
      <w:r>
        <w:rPr>
          <w:rFonts w:hint="eastAsia" w:hAnsi="宋体" w:cs="宋体"/>
          <w:sz w:val="28"/>
          <w:szCs w:val="28"/>
          <w:highlight w:val="none"/>
        </w:rPr>
        <w:t>注：</w:t>
      </w:r>
    </w:p>
    <w:p>
      <w:pPr>
        <w:tabs>
          <w:tab w:val="left" w:pos="6300"/>
        </w:tabs>
        <w:snapToGrid w:val="0"/>
        <w:spacing w:line="360" w:lineRule="auto"/>
        <w:ind w:right="480" w:firstLine="570"/>
        <w:jc w:val="left"/>
        <w:rPr>
          <w:rFonts w:hAnsi="宋体" w:cs="宋体"/>
          <w:sz w:val="28"/>
          <w:szCs w:val="28"/>
          <w:highlight w:val="none"/>
        </w:rPr>
      </w:pPr>
      <w:r>
        <w:rPr>
          <w:rFonts w:hint="eastAsia" w:hAnsi="宋体" w:cs="宋体"/>
          <w:sz w:val="28"/>
          <w:szCs w:val="28"/>
          <w:highlight w:val="none"/>
        </w:rPr>
        <w:t>1.若为法定代表人办理并签署</w:t>
      </w:r>
      <w:r>
        <w:rPr>
          <w:rFonts w:hint="eastAsia" w:hAnsi="宋体" w:cs="宋体"/>
          <w:sz w:val="28"/>
          <w:szCs w:val="28"/>
          <w:highlight w:val="none"/>
          <w:lang w:eastAsia="zh-CN"/>
        </w:rPr>
        <w:t>响应文件</w:t>
      </w:r>
      <w:r>
        <w:rPr>
          <w:rFonts w:hint="eastAsia" w:hAnsi="宋体" w:cs="宋体"/>
          <w:sz w:val="28"/>
          <w:szCs w:val="28"/>
          <w:highlight w:val="none"/>
        </w:rPr>
        <w:t>的，不提供此文件。</w:t>
      </w:r>
    </w:p>
    <w:p>
      <w:pPr>
        <w:tabs>
          <w:tab w:val="left" w:pos="6300"/>
        </w:tabs>
        <w:snapToGrid w:val="0"/>
        <w:spacing w:line="360" w:lineRule="auto"/>
        <w:ind w:right="480" w:firstLine="570"/>
        <w:jc w:val="left"/>
        <w:rPr>
          <w:rFonts w:hAnsi="宋体" w:cs="宋体"/>
          <w:sz w:val="28"/>
          <w:szCs w:val="28"/>
          <w:highlight w:val="none"/>
        </w:rPr>
      </w:pPr>
      <w:r>
        <w:rPr>
          <w:rFonts w:hint="eastAsia" w:hAnsi="宋体" w:cs="宋体"/>
          <w:sz w:val="28"/>
          <w:szCs w:val="28"/>
          <w:highlight w:val="none"/>
        </w:rPr>
        <w:t>2.若为联合体投标的，法定代表人授权委托书由联合体主办方（主体）出具。</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br w:type="column"/>
      </w:r>
      <w:bookmarkEnd w:id="0"/>
      <w:r>
        <w:rPr>
          <w:rFonts w:hint="eastAsia" w:hAnsi="宋体" w:cs="宋体"/>
          <w:sz w:val="28"/>
          <w:szCs w:val="28"/>
          <w:highlight w:val="none"/>
        </w:rPr>
        <w:t>（四）书面声明</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lang w:eastAsia="zh-CN"/>
        </w:rPr>
        <w:t>采购项目</w:t>
      </w:r>
      <w:r>
        <w:rPr>
          <w:rFonts w:hint="eastAsia" w:hAnsi="宋体" w:cs="宋体"/>
          <w:sz w:val="28"/>
          <w:szCs w:val="28"/>
          <w:highlight w:val="none"/>
        </w:rPr>
        <w:t>名称：</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致：（采购人名称）：</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投标人名称）郑重声明，我公司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特此声明。</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right="424" w:firstLine="570"/>
        <w:jc w:val="right"/>
        <w:rPr>
          <w:rFonts w:hAnsi="宋体" w:cs="宋体"/>
          <w:sz w:val="28"/>
          <w:szCs w:val="28"/>
          <w:highlight w:val="none"/>
        </w:rPr>
      </w:pPr>
      <w:r>
        <w:rPr>
          <w:rFonts w:hint="eastAsia" w:hAnsi="宋体" w:cs="宋体"/>
          <w:sz w:val="28"/>
          <w:szCs w:val="28"/>
          <w:highlight w:val="none"/>
        </w:rPr>
        <w:t>（投标人公章）</w:t>
      </w:r>
    </w:p>
    <w:p>
      <w:pPr>
        <w:tabs>
          <w:tab w:val="left" w:pos="6300"/>
        </w:tabs>
        <w:snapToGrid w:val="0"/>
        <w:spacing w:line="360" w:lineRule="auto"/>
        <w:ind w:right="480" w:firstLine="570"/>
        <w:jc w:val="right"/>
        <w:rPr>
          <w:rFonts w:hAnsi="宋体" w:cs="宋体"/>
          <w:sz w:val="28"/>
          <w:szCs w:val="28"/>
          <w:highlight w:val="none"/>
        </w:rPr>
      </w:pPr>
      <w:r>
        <w:rPr>
          <w:rFonts w:hint="eastAsia" w:hAnsi="宋体" w:cs="宋体"/>
          <w:sz w:val="28"/>
          <w:szCs w:val="28"/>
          <w:highlight w:val="none"/>
        </w:rPr>
        <w:t>年   月   日</w:t>
      </w:r>
    </w:p>
    <w:p>
      <w:pPr>
        <w:snapToGrid w:val="0"/>
        <w:spacing w:line="360" w:lineRule="auto"/>
        <w:ind w:firstLine="560" w:firstLineChars="200"/>
        <w:rPr>
          <w:rFonts w:hAnsi="宋体" w:cs="宋体"/>
          <w:sz w:val="28"/>
          <w:szCs w:val="28"/>
          <w:highlight w:val="none"/>
        </w:rPr>
      </w:pPr>
    </w:p>
    <w:p>
      <w:pPr>
        <w:tabs>
          <w:tab w:val="left" w:pos="6300"/>
        </w:tabs>
        <w:snapToGrid w:val="0"/>
        <w:spacing w:line="500" w:lineRule="exact"/>
        <w:ind w:firstLine="570"/>
        <w:rPr>
          <w:rFonts w:hAnsi="宋体" w:cs="宋体"/>
          <w:sz w:val="28"/>
          <w:szCs w:val="28"/>
          <w:highlight w:val="none"/>
        </w:rPr>
      </w:pPr>
      <w:r>
        <w:rPr>
          <w:rFonts w:hint="eastAsia" w:hAnsi="宋体" w:cs="宋体"/>
          <w:sz w:val="28"/>
          <w:szCs w:val="28"/>
          <w:highlight w:val="none"/>
        </w:rPr>
        <w:br w:type="page"/>
      </w:r>
      <w:r>
        <w:rPr>
          <w:rFonts w:hint="eastAsia" w:ascii="方正仿宋_GBK" w:hAnsi="仿宋" w:eastAsia="方正仿宋_GBK"/>
          <w:highlight w:val="none"/>
        </w:rPr>
        <w:t>（五）</w:t>
      </w:r>
      <w:r>
        <w:rPr>
          <w:rFonts w:hint="eastAsia" w:hAnsi="宋体" w:cs="宋体"/>
          <w:sz w:val="28"/>
          <w:szCs w:val="28"/>
          <w:highlight w:val="none"/>
        </w:rPr>
        <w:t>特定资格条件证书或证明文件</w:t>
      </w:r>
    </w:p>
    <w:p>
      <w:pPr>
        <w:tabs>
          <w:tab w:val="left" w:pos="6300"/>
        </w:tabs>
        <w:snapToGrid w:val="0"/>
        <w:spacing w:line="360" w:lineRule="auto"/>
        <w:ind w:firstLine="570"/>
        <w:jc w:val="left"/>
        <w:rPr>
          <w:rFonts w:hAnsi="宋体" w:cs="宋体"/>
          <w:sz w:val="28"/>
          <w:szCs w:val="28"/>
          <w:highlight w:val="none"/>
        </w:rPr>
      </w:pPr>
    </w:p>
    <w:p>
      <w:pPr>
        <w:tabs>
          <w:tab w:val="left" w:pos="6300"/>
        </w:tabs>
        <w:snapToGrid w:val="0"/>
        <w:spacing w:line="360" w:lineRule="auto"/>
        <w:ind w:firstLine="570"/>
        <w:jc w:val="left"/>
        <w:rPr>
          <w:rFonts w:hAnsi="宋体" w:cs="宋体"/>
          <w:sz w:val="28"/>
          <w:szCs w:val="28"/>
          <w:highlight w:val="none"/>
        </w:rPr>
      </w:pPr>
    </w:p>
    <w:p>
      <w:pPr>
        <w:tabs>
          <w:tab w:val="left" w:pos="6300"/>
        </w:tabs>
        <w:snapToGrid w:val="0"/>
        <w:spacing w:line="360" w:lineRule="auto"/>
        <w:ind w:firstLine="570"/>
        <w:jc w:val="left"/>
        <w:rPr>
          <w:rFonts w:hAnsi="宋体" w:cs="宋体"/>
          <w:sz w:val="28"/>
          <w:szCs w:val="28"/>
          <w:highlight w:val="none"/>
        </w:rPr>
      </w:pPr>
    </w:p>
    <w:p>
      <w:pPr>
        <w:tabs>
          <w:tab w:val="left" w:pos="6300"/>
        </w:tabs>
        <w:snapToGrid w:val="0"/>
        <w:spacing w:line="360" w:lineRule="auto"/>
        <w:ind w:firstLine="570"/>
        <w:jc w:val="left"/>
        <w:rPr>
          <w:rFonts w:hAnsi="宋体" w:cs="宋体"/>
          <w:sz w:val="28"/>
          <w:szCs w:val="28"/>
          <w:highlight w:val="none"/>
        </w:rPr>
      </w:pPr>
    </w:p>
    <w:p>
      <w:pPr>
        <w:tabs>
          <w:tab w:val="left" w:pos="6300"/>
        </w:tabs>
        <w:snapToGrid w:val="0"/>
        <w:spacing w:line="360" w:lineRule="auto"/>
        <w:ind w:firstLine="570"/>
        <w:jc w:val="left"/>
        <w:rPr>
          <w:rFonts w:hAnsi="宋体" w:cs="宋体"/>
          <w:sz w:val="28"/>
          <w:szCs w:val="28"/>
          <w:highlight w:val="none"/>
        </w:rPr>
      </w:pPr>
    </w:p>
    <w:p>
      <w:pPr>
        <w:tabs>
          <w:tab w:val="left" w:pos="6300"/>
        </w:tabs>
        <w:snapToGrid w:val="0"/>
        <w:spacing w:line="360" w:lineRule="auto"/>
        <w:ind w:firstLine="570"/>
        <w:jc w:val="left"/>
        <w:rPr>
          <w:rFonts w:hAnsi="宋体" w:cs="宋体"/>
          <w:sz w:val="28"/>
          <w:szCs w:val="28"/>
          <w:highlight w:val="none"/>
        </w:rPr>
      </w:pPr>
    </w:p>
    <w:p>
      <w:pPr>
        <w:tabs>
          <w:tab w:val="left" w:pos="6300"/>
        </w:tabs>
        <w:snapToGrid w:val="0"/>
        <w:spacing w:line="360" w:lineRule="auto"/>
        <w:jc w:val="center"/>
        <w:rPr>
          <w:rFonts w:hAnsi="宋体" w:cs="宋体"/>
          <w:sz w:val="28"/>
          <w:szCs w:val="28"/>
          <w:highlight w:val="none"/>
        </w:rPr>
      </w:pPr>
      <w:r>
        <w:rPr>
          <w:rFonts w:hint="eastAsia" w:hAnsi="宋体" w:cs="宋体"/>
          <w:sz w:val="28"/>
          <w:szCs w:val="28"/>
          <w:highlight w:val="none"/>
        </w:rPr>
        <w:t>（结束）</w:t>
      </w:r>
    </w:p>
    <w:p>
      <w:pPr>
        <w:tabs>
          <w:tab w:val="left" w:pos="6300"/>
        </w:tabs>
        <w:snapToGrid w:val="0"/>
        <w:spacing w:line="360" w:lineRule="auto"/>
        <w:ind w:firstLine="570"/>
        <w:rPr>
          <w:rFonts w:hAnsi="宋体" w:cs="宋体"/>
          <w:sz w:val="28"/>
          <w:szCs w:val="28"/>
          <w:highlight w:val="none"/>
        </w:rPr>
      </w:pPr>
    </w:p>
    <w:p>
      <w:pPr>
        <w:rPr>
          <w:highlight w:val="none"/>
        </w:rPr>
      </w:pPr>
    </w:p>
    <w:sectPr>
      <w:pgSz w:w="11907" w:h="16840"/>
      <w:pgMar w:top="1440" w:right="1275" w:bottom="993" w:left="1134" w:header="851" w:footer="77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31</w:t>
    </w:r>
    <w:r>
      <w:rPr>
        <w:b/>
        <w:sz w:val="24"/>
        <w:szCs w:val="24"/>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r>
      <w:rPr>
        <w:rFonts w:hint="eastAsia"/>
      </w:rPr>
      <w:t xml:space="preserve">重庆医科大学附属口腔医院                                                                   </w:t>
    </w:r>
    <w:r>
      <w:rPr>
        <w:rFonts w:hint="eastAsia"/>
        <w:lang w:eastAsia="zh-CN"/>
      </w:rPr>
      <w:t>竞争性比选</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4ACD09"/>
    <w:multiLevelType w:val="singleLevel"/>
    <w:tmpl w:val="384ACD0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 w:name="KSO_WPS_MARK_KEY" w:val="5a2c711b-de76-4637-924e-0d8621a22b8e"/>
  </w:docVars>
  <w:rsids>
    <w:rsidRoot w:val="00000000"/>
    <w:rsid w:val="131B4F27"/>
    <w:rsid w:val="1E716CBD"/>
    <w:rsid w:val="204B52A3"/>
    <w:rsid w:val="305B7ED0"/>
    <w:rsid w:val="31825ED0"/>
    <w:rsid w:val="354C5318"/>
    <w:rsid w:val="4FC11690"/>
    <w:rsid w:val="556A352D"/>
    <w:rsid w:val="67F74F6D"/>
    <w:rsid w:val="6D3E38DD"/>
    <w:rsid w:val="77125EA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qFormat/>
    <w:uiPriority w:val="0"/>
    <w:pPr>
      <w:keepNext/>
      <w:keepLines/>
      <w:jc w:val="center"/>
      <w:outlineLvl w:val="0"/>
    </w:pPr>
    <w:rPr>
      <w:rFonts w:ascii="Times New Roman" w:eastAsia="仿宋"/>
      <w:b/>
      <w:bCs/>
      <w:kern w:val="44"/>
      <w:sz w:val="44"/>
      <w:szCs w:val="44"/>
    </w:rPr>
  </w:style>
  <w:style w:type="paragraph" w:styleId="3">
    <w:name w:val="heading 2"/>
    <w:basedOn w:val="1"/>
    <w:next w:val="1"/>
    <w:link w:val="15"/>
    <w:qFormat/>
    <w:uiPriority w:val="0"/>
    <w:pPr>
      <w:keepNext/>
      <w:keepLines/>
      <w:jc w:val="left"/>
      <w:outlineLvl w:val="1"/>
    </w:pPr>
    <w:rPr>
      <w:rFonts w:ascii="Arial" w:hAnsi="Arial"/>
      <w:bCs/>
      <w:kern w:val="2"/>
      <w:sz w:val="28"/>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1"/>
    <w:qFormat/>
    <w:uiPriority w:val="0"/>
    <w:pPr>
      <w:spacing w:line="700" w:lineRule="exact"/>
      <w:ind w:left="960"/>
    </w:pPr>
    <w:rPr>
      <w:sz w:val="44"/>
    </w:rPr>
  </w:style>
  <w:style w:type="paragraph" w:styleId="6">
    <w:name w:val="Plain Text"/>
    <w:basedOn w:val="1"/>
    <w:qFormat/>
    <w:uiPriority w:val="99"/>
    <w:rPr>
      <w:rFonts w:hAnsi="Courier New"/>
      <w:kern w:val="2"/>
      <w:sz w:val="21"/>
      <w:szCs w:val="21"/>
    </w:rPr>
  </w:style>
  <w:style w:type="paragraph" w:styleId="7">
    <w:name w:val="Date"/>
    <w:basedOn w:val="1"/>
    <w:next w:val="1"/>
    <w:qFormat/>
    <w:uiPriority w:val="0"/>
    <w:pPr>
      <w:ind w:left="100" w:leftChars="2500"/>
    </w:pPr>
  </w:style>
  <w:style w:type="paragraph" w:styleId="8">
    <w:name w:val="footer"/>
    <w:basedOn w:val="1"/>
    <w:qFormat/>
    <w:uiPriority w:val="99"/>
    <w:pPr>
      <w:tabs>
        <w:tab w:val="center" w:pos="4153"/>
        <w:tab w:val="right" w:pos="8306"/>
      </w:tabs>
      <w:snapToGrid w:val="0"/>
      <w:jc w:val="left"/>
    </w:pPr>
    <w:rPr>
      <w:rFonts w:ascii="Times New Roman"/>
      <w:kern w:val="2"/>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pacing w:before="120" w:after="120"/>
      <w:jc w:val="left"/>
    </w:pPr>
    <w:rPr>
      <w:b/>
      <w:bCs/>
      <w:caps/>
    </w:rPr>
  </w:style>
  <w:style w:type="paragraph" w:styleId="11">
    <w:name w:val="toc 2"/>
    <w:basedOn w:val="1"/>
    <w:next w:val="1"/>
    <w:qFormat/>
    <w:uiPriority w:val="39"/>
    <w:pPr>
      <w:spacing w:line="312" w:lineRule="auto"/>
      <w:ind w:left="420"/>
      <w:jc w:val="right"/>
    </w:pPr>
    <w:rPr>
      <w:rFonts w:ascii="仿宋_GB2312" w:eastAsia="仿宋_GB2312"/>
      <w:bCs/>
      <w:smallCaps/>
      <w:sz w:val="24"/>
    </w:rPr>
  </w:style>
  <w:style w:type="character" w:styleId="14">
    <w:name w:val="Hyperlink"/>
    <w:qFormat/>
    <w:uiPriority w:val="99"/>
    <w:rPr>
      <w:color w:val="0000FF"/>
      <w:u w:val="single"/>
    </w:rPr>
  </w:style>
  <w:style w:type="character" w:customStyle="1" w:styleId="15">
    <w:name w:val="标题 2 Char"/>
    <w:link w:val="3"/>
    <w:qFormat/>
    <w:uiPriority w:val="0"/>
    <w:rPr>
      <w:rFonts w:ascii="Arial" w:hAnsi="Arial"/>
      <w:bCs/>
      <w:kern w:val="2"/>
      <w:sz w:val="28"/>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37</Pages>
  <Words>15189</Words>
  <Characters>15753</Characters>
  <Lines>0</Lines>
  <Paragraphs>0</Paragraphs>
  <TotalTime>1</TotalTime>
  <ScaleCrop>false</ScaleCrop>
  <LinksUpToDate>false</LinksUpToDate>
  <CharactersWithSpaces>16600</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2024-04-24T10:20:00Z</dcterms:created>
  <dc:creator>Administrator.MM-202203241122</dc:creator>
  <cp:lastModifiedBy>小陈Clam</cp:lastModifiedBy>
  <dcterms:modified xsi:type="dcterms:W3CDTF">2024-09-11T08:43:26Z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628B36CBA4AF45A78524D2AC7A4660E8_13</vt:lpwstr>
  </property>
</Properties>
</file>