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9</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10</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9</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14</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伍</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88602358</w:t>
      </w:r>
      <w:r>
        <w:rPr>
          <w:rFonts w:hint="eastAsia" w:cs="Tahoma" w:asciiTheme="minorEastAsia" w:hAnsiTheme="minorEastAsia"/>
          <w:b/>
          <w:color w:val="333333"/>
          <w:sz w:val="28"/>
          <w:szCs w:val="28"/>
          <w:shd w:val="clear" w:color="auto" w:fill="FFFFFF"/>
        </w:rPr>
        <w:t>。</w:t>
      </w:r>
    </w:p>
    <w:p>
      <w:pPr>
        <w:jc w:val="center"/>
        <w:rPr>
          <w:rFonts w:hint="default"/>
          <w:b/>
          <w:color w:val="FF0000"/>
          <w:sz w:val="28"/>
          <w:szCs w:val="28"/>
          <w:lang w:val="en-US" w:eastAsia="zh-CN"/>
        </w:rPr>
      </w:pPr>
      <w:r>
        <w:rPr>
          <w:rFonts w:hint="eastAsia" w:ascii="Calibri" w:hAnsi="Calibri" w:eastAsia="宋体" w:cs="Times New Roman"/>
          <w:b/>
          <w:color w:val="000000"/>
          <w:sz w:val="28"/>
          <w:szCs w:val="28"/>
          <w:lang w:val="en-US" w:eastAsia="zh-CN"/>
        </w:rPr>
        <w:t>1批专用设备采购清单</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4354"/>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4354"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品名（规格）</w:t>
            </w:r>
          </w:p>
        </w:tc>
        <w:tc>
          <w:tcPr>
            <w:tcW w:w="268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eastAsia="zh-CN"/>
              </w:rPr>
            </w:pPr>
            <w:r>
              <w:rPr>
                <w:rFonts w:hint="eastAsia" w:ascii="宋体" w:hAnsi="宋体" w:eastAsia="宋体" w:cs="宋体"/>
                <w:color w:val="000000"/>
                <w:kern w:val="0"/>
                <w:sz w:val="22"/>
                <w:szCs w:val="22"/>
                <w:lang w:eastAsia="zh-CN"/>
              </w:rPr>
              <w:t>综合治疗机</w:t>
            </w:r>
          </w:p>
        </w:tc>
        <w:tc>
          <w:tcPr>
            <w:tcW w:w="2687" w:type="dxa"/>
            <w:shd w:val="clear" w:color="000000"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lang w:val="en-US"/>
              </w:rPr>
            </w:pPr>
            <w:r>
              <w:rPr>
                <w:rFonts w:hint="eastAsia" w:ascii="宋体" w:hAnsi="宋体" w:eastAsia="宋体" w:cs="宋体"/>
                <w:i w:val="0"/>
                <w:iCs w:val="0"/>
                <w:color w:val="000000"/>
                <w:kern w:val="0"/>
                <w:sz w:val="24"/>
                <w:szCs w:val="24"/>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2</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冷冻干燥机</w:t>
            </w:r>
          </w:p>
        </w:tc>
        <w:tc>
          <w:tcPr>
            <w:tcW w:w="2687"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单细胞质谱分析系统</w:t>
            </w:r>
          </w:p>
        </w:tc>
        <w:tc>
          <w:tcPr>
            <w:tcW w:w="2687"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w:t>
            </w:r>
          </w:p>
        </w:tc>
        <w:tc>
          <w:tcPr>
            <w:tcW w:w="4354" w:type="dxa"/>
            <w:shd w:val="clear" w:color="000000" w:fill="FFFFFF"/>
            <w:vAlign w:val="center"/>
          </w:tcPr>
          <w:p>
            <w:pPr>
              <w:widowControl/>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真空干燥箱</w:t>
            </w:r>
          </w:p>
        </w:tc>
        <w:tc>
          <w:tcPr>
            <w:tcW w:w="2687"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2套</w:t>
            </w:r>
          </w:p>
        </w:tc>
      </w:tr>
    </w:tbl>
    <w:p>
      <w:pPr>
        <w:jc w:val="left"/>
        <w:rPr>
          <w:rFonts w:hint="eastAsia"/>
          <w:b/>
          <w:color w:val="FF0000"/>
          <w:sz w:val="28"/>
          <w:szCs w:val="28"/>
          <w:lang w:eastAsia="zh-CN"/>
        </w:rPr>
      </w:pPr>
    </w:p>
    <w:p>
      <w:pPr>
        <w:rPr>
          <w:rFonts w:hint="eastAsia" w:ascii="Calibri" w:hAnsi="Calibri" w:eastAsia="宋体" w:cs="Times New Roman"/>
          <w:b/>
          <w:color w:val="000000"/>
          <w:sz w:val="28"/>
          <w:szCs w:val="28"/>
          <w:u w:val="none"/>
          <w:lang w:val="en-US" w:eastAsia="zh-CN"/>
        </w:rPr>
      </w:pPr>
      <w:r>
        <w:rPr>
          <w:rFonts w:hint="eastAsia" w:ascii="Calibri" w:hAnsi="Calibri" w:eastAsia="宋体" w:cs="Times New Roman"/>
          <w:b/>
          <w:color w:val="000000"/>
          <w:sz w:val="28"/>
          <w:szCs w:val="28"/>
          <w:u w:val="none"/>
          <w:lang w:val="en-US" w:eastAsia="zh-CN"/>
        </w:rPr>
        <w:br w:type="page"/>
      </w:r>
    </w:p>
    <w:p>
      <w:pPr>
        <w:jc w:val="center"/>
        <w:rPr>
          <w:b/>
          <w:color w:val="000000"/>
          <w:sz w:val="28"/>
          <w:szCs w:val="28"/>
        </w:rPr>
      </w:pPr>
      <w:r>
        <w:rPr>
          <w:rFonts w:hint="eastAsia" w:ascii="Calibri" w:hAnsi="Calibri" w:eastAsia="宋体" w:cs="Times New Roman"/>
          <w:b/>
          <w:color w:val="000000"/>
          <w:sz w:val="28"/>
          <w:szCs w:val="28"/>
          <w:u w:val="none"/>
          <w:lang w:val="en-US" w:eastAsia="zh-CN"/>
        </w:rPr>
        <w:t xml:space="preserve">设备一  </w:t>
      </w:r>
      <w:r>
        <w:rPr>
          <w:rFonts w:hint="eastAsia" w:ascii="Calibri" w:hAnsi="Calibri" w:eastAsia="宋体" w:cs="Times New Roman"/>
          <w:b/>
          <w:color w:val="000000"/>
          <w:sz w:val="28"/>
          <w:szCs w:val="28"/>
          <w:u w:val="single"/>
          <w:lang w:val="en-US" w:eastAsia="zh-CN"/>
        </w:rPr>
        <w:t>2套综合治疗机</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pStyle w:val="2"/>
        <w:rPr>
          <w:rFonts w:hint="eastAsia"/>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916"/>
        <w:gridCol w:w="7772"/>
        <w:gridCol w:w="130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jc w:val="center"/>
        </w:trPr>
        <w:tc>
          <w:tcPr>
            <w:tcW w:w="916" w:type="dxa"/>
            <w:tcBorders>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序号</w:t>
            </w:r>
          </w:p>
        </w:tc>
        <w:tc>
          <w:tcPr>
            <w:tcW w:w="7772" w:type="dxa"/>
            <w:tcBorders>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参数</w:t>
            </w:r>
          </w:p>
        </w:tc>
        <w:tc>
          <w:tcPr>
            <w:tcW w:w="1308" w:type="dxa"/>
            <w:tcBorders>
              <w:left w:val="nil"/>
              <w:bottom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响应情况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一</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主要性能特点</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环境温度：5～40℃，相对湿度：＜80％，大气压力：86～106Kpa</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1.2</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空气压力范围：0.5-0.8MPa，在地箱中应有空气过滤器，气压调节阀和压力表</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1.3</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水压力范围：0.2-0.4MPa，在地</w:t>
            </w:r>
            <w:r>
              <w:rPr>
                <w:rFonts w:hint="eastAsia" w:ascii="宋体" w:hAnsi="宋体" w:eastAsia="宋体" w:cs="宋体"/>
                <w:color w:val="auto"/>
                <w:kern w:val="0"/>
                <w:sz w:val="22"/>
                <w:szCs w:val="22"/>
                <w:highlight w:val="none"/>
                <w:lang w:val="en-US" w:eastAsia="zh-CN"/>
              </w:rPr>
              <w:t>箱</w:t>
            </w:r>
            <w:r>
              <w:rPr>
                <w:rFonts w:hint="eastAsia" w:ascii="宋体" w:hAnsi="宋体" w:eastAsia="宋体" w:cs="宋体"/>
                <w:color w:val="auto"/>
                <w:kern w:val="0"/>
                <w:sz w:val="22"/>
                <w:szCs w:val="22"/>
                <w:highlight w:val="none"/>
              </w:rPr>
              <w:t>中应有水过滤器，水压调节阀和压力表</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.4</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额定电压：单相220v±10%，频率：50/60Hz</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二</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病人椅位</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1</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座椅承重≥</w:t>
            </w:r>
            <w:r>
              <w:rPr>
                <w:rFonts w:hint="eastAsia" w:ascii="宋体" w:hAnsi="宋体" w:eastAsia="宋体" w:cs="宋体"/>
                <w:color w:val="auto"/>
                <w:kern w:val="0"/>
                <w:sz w:val="22"/>
                <w:szCs w:val="22"/>
                <w:highlight w:val="none"/>
                <w:lang w:val="en-US" w:eastAsia="zh-CN"/>
              </w:rPr>
              <w:t>16</w:t>
            </w:r>
            <w:r>
              <w:rPr>
                <w:rFonts w:hint="eastAsia" w:ascii="宋体" w:hAnsi="宋体" w:eastAsia="宋体" w:cs="宋体"/>
                <w:color w:val="auto"/>
                <w:kern w:val="0"/>
                <w:sz w:val="22"/>
                <w:szCs w:val="22"/>
                <w:highlight w:val="none"/>
              </w:rPr>
              <w:t>0KG（提供产品说明书或彩页支撑材料）</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2</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病人椅的椅位升降高度：最低≤40cm、最高≥75cm；保证包括需要站立治疗在内的各种治疗姿势医生均能轻松应对（提供产品说明书或彩页支撑材料）</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3</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病人椅椅背和坐垫有联动补偿功能，缓解拉伸搓背感</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4</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电动头枕，可以通过器械台触摸屏等多个控制单元，控制头枕的升降俯仰步进运动，无需碰触头枕和病人头部（提供产品说明书或彩页支撑材料）</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三</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医生单元</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3.1</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医生操作台可灵活的移动</w:t>
            </w:r>
            <w:r>
              <w:rPr>
                <w:rFonts w:hint="eastAsia" w:ascii="宋体" w:hAnsi="宋体" w:eastAsia="宋体" w:cs="宋体"/>
                <w:color w:val="auto"/>
                <w:kern w:val="0"/>
                <w:sz w:val="22"/>
                <w:szCs w:val="22"/>
                <w:highlight w:val="none"/>
                <w:lang w:val="en-US" w:eastAsia="zh-CN"/>
              </w:rPr>
              <w:t>或锁定</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锁定后不会移动。</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3.2</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具有≥6个器械放置架，并可再升级外挂器械放置架，手机管线下悬挂在手机挂架内，电磁感应搁架无传统机械微动开关，可自由摆放治疗器械位置，挂架自动识别器械；器械放置架及操作台手柄可拆卸清洁消毒，有效防止交叉感染。</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3.3</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预置光纤手机管线管路具有双重防回吸功能，有效控制交叉感染：标准6孔高速涡轮手机管线（提供产品说明书或彩页支撑材料） </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3.4</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设有手机喷雾加热器，提供恒温的手机及</w:t>
            </w:r>
            <w:r>
              <w:rPr>
                <w:rFonts w:hint="eastAsia" w:ascii="宋体" w:hAnsi="宋体" w:eastAsia="宋体" w:cs="宋体"/>
                <w:color w:val="auto"/>
                <w:kern w:val="0"/>
                <w:sz w:val="22"/>
                <w:szCs w:val="22"/>
                <w:highlight w:val="none"/>
                <w:lang w:val="en-US" w:eastAsia="zh-CN"/>
              </w:rPr>
              <w:t>三用</w:t>
            </w:r>
            <w:r>
              <w:rPr>
                <w:rFonts w:hint="eastAsia" w:ascii="宋体" w:hAnsi="宋体" w:eastAsia="宋体" w:cs="宋体"/>
                <w:color w:val="auto"/>
                <w:kern w:val="0"/>
                <w:sz w:val="22"/>
                <w:szCs w:val="22"/>
                <w:highlight w:val="none"/>
              </w:rPr>
              <w:t>枪的喷雾；手机工作和病人椅位运动具有互锁功能；</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3.5</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strike w:val="0"/>
                <w:dstrike w:val="0"/>
                <w:color w:val="auto"/>
                <w:kern w:val="0"/>
                <w:sz w:val="22"/>
                <w:szCs w:val="22"/>
                <w:highlight w:val="none"/>
                <w:lang w:val="en-US" w:eastAsia="zh-CN"/>
              </w:rPr>
              <w:t>医生操作台</w:t>
            </w:r>
            <w:r>
              <w:rPr>
                <w:rFonts w:hint="eastAsia" w:ascii="宋体" w:hAnsi="宋体" w:eastAsia="宋体" w:cs="宋体"/>
                <w:color w:val="auto"/>
                <w:kern w:val="0"/>
                <w:sz w:val="22"/>
                <w:szCs w:val="22"/>
                <w:highlight w:val="none"/>
              </w:rPr>
              <w:t>可控制器械、漱口盘、水杯、治疗椅、手术灯及多媒体显示等功能（提供产品说明书或彩页支撑材料）；</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strike w:val="0"/>
                <w:dstrike w:val="0"/>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3.6</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液晶显示屏分别显示：手动器械控制界面、时间及计时控制界面、其他功能控制界面的各项操作参数，并可分别进行编程；</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3.7</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可根据治疗模式需要编程储存器械工作参数：通过器械控制界面可设定并控制手机转速范围、电动马达正/反转，手机光纤开/关、手机喷雾开/关、手机光纤亮度、手术灯开/关及亮度等系列程序；</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3.8</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最多实现6个医生独立操作或6套操作程序独立设定，每套程序可储存多套椅位及器械设定参数；</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6"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3.9</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可通过时间计时控制界面编程设定漱口盘、水杯给水的定时控制及治疗模式计时程序；</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3.10</w:t>
            </w:r>
            <w:r>
              <w:rPr>
                <w:rFonts w:hint="eastAsia" w:ascii="宋体" w:hAnsi="宋体" w:eastAsia="宋体" w:cs="宋体"/>
                <w:color w:val="auto"/>
                <w:kern w:val="0"/>
                <w:sz w:val="24"/>
                <w:highlight w:val="none"/>
              </w:rPr>
              <w:t>　</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内窥镜有拍照，录像功能，存储的图片和影像资料可以通过U盘拷出，配有显示器支架及液晶显示器 1 套 ，显示器≥19 英寸；</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3.1</w:t>
            </w:r>
            <w:r>
              <w:rPr>
                <w:rFonts w:hint="eastAsia" w:ascii="宋体" w:hAnsi="宋体" w:eastAsia="宋体" w:cs="宋体"/>
                <w:color w:val="auto"/>
                <w:kern w:val="0"/>
                <w:sz w:val="24"/>
                <w:highlight w:val="none"/>
                <w:lang w:val="en-US" w:eastAsia="zh-CN"/>
              </w:rPr>
              <w:t>1</w:t>
            </w:r>
          </w:p>
        </w:tc>
        <w:tc>
          <w:tcPr>
            <w:tcW w:w="777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配置牙椅原厂同品牌无碳刷常规及根管两用电动马达</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可设置根管治疗整个流程参数。</w:t>
            </w:r>
          </w:p>
        </w:tc>
        <w:tc>
          <w:tcPr>
            <w:tcW w:w="1308" w:type="dxa"/>
            <w:tcBorders>
              <w:top w:val="nil"/>
              <w:left w:val="nil"/>
              <w:bottom w:val="single" w:color="auto" w:sz="4" w:space="0"/>
            </w:tcBorders>
            <w:shd w:val="clear" w:color="000000" w:fill="FFFFFF"/>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3.1</w:t>
            </w:r>
            <w:r>
              <w:rPr>
                <w:rFonts w:hint="eastAsia" w:ascii="宋体" w:hAnsi="宋体" w:eastAsia="宋体" w:cs="宋体"/>
                <w:color w:val="auto"/>
                <w:kern w:val="0"/>
                <w:sz w:val="24"/>
                <w:highlight w:val="none"/>
                <w:lang w:val="en-US" w:eastAsia="zh-CN"/>
              </w:rPr>
              <w:t>2</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配置带光纤功能的快接头，可调水，具有强大的延展功能，可快速接入同品牌其他治疗器械；</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3.1</w:t>
            </w:r>
            <w:r>
              <w:rPr>
                <w:rFonts w:hint="eastAsia" w:ascii="宋体" w:hAnsi="宋体" w:eastAsia="宋体" w:cs="宋体"/>
                <w:color w:val="auto"/>
                <w:kern w:val="0"/>
                <w:sz w:val="24"/>
                <w:highlight w:val="none"/>
                <w:lang w:val="en-US" w:eastAsia="zh-CN"/>
              </w:rPr>
              <w:t>3</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可配置牙椅同品牌高端光纤高速手机、低速手机</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3.1</w:t>
            </w:r>
            <w:r>
              <w:rPr>
                <w:rFonts w:hint="eastAsia" w:ascii="宋体" w:hAnsi="宋体" w:eastAsia="宋体" w:cs="宋体"/>
                <w:color w:val="auto"/>
                <w:kern w:val="0"/>
                <w:sz w:val="24"/>
                <w:highlight w:val="none"/>
                <w:lang w:val="en-US" w:eastAsia="zh-CN"/>
              </w:rPr>
              <w:t>4</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医生</w:t>
            </w:r>
            <w:r>
              <w:rPr>
                <w:rFonts w:hint="eastAsia" w:ascii="宋体" w:hAnsi="宋体" w:eastAsia="宋体" w:cs="宋体"/>
                <w:color w:val="auto"/>
                <w:kern w:val="0"/>
                <w:sz w:val="22"/>
                <w:szCs w:val="22"/>
                <w:highlight w:val="none"/>
                <w:lang w:val="en-US" w:eastAsia="zh-CN"/>
              </w:rPr>
              <w:t>和</w:t>
            </w:r>
            <w:r>
              <w:rPr>
                <w:rFonts w:hint="eastAsia" w:ascii="宋体" w:hAnsi="宋体" w:eastAsia="宋体" w:cs="宋体"/>
                <w:color w:val="auto"/>
                <w:kern w:val="0"/>
                <w:sz w:val="22"/>
                <w:szCs w:val="22"/>
                <w:highlight w:val="none"/>
              </w:rPr>
              <w:t>护士位配置</w:t>
            </w:r>
            <w:r>
              <w:rPr>
                <w:rFonts w:hint="eastAsia" w:ascii="宋体" w:hAnsi="宋体" w:eastAsia="宋体" w:cs="宋体"/>
                <w:color w:val="auto"/>
                <w:kern w:val="0"/>
                <w:sz w:val="22"/>
                <w:szCs w:val="22"/>
                <w:highlight w:val="none"/>
                <w:lang w:val="en-US" w:eastAsia="zh-CN"/>
              </w:rPr>
              <w:t>三用</w:t>
            </w:r>
            <w:r>
              <w:rPr>
                <w:rFonts w:hint="eastAsia" w:ascii="宋体" w:hAnsi="宋体" w:eastAsia="宋体" w:cs="宋体"/>
                <w:color w:val="auto"/>
                <w:kern w:val="0"/>
                <w:sz w:val="22"/>
                <w:szCs w:val="22"/>
                <w:highlight w:val="none"/>
              </w:rPr>
              <w:t>喷枪，头、柄均可拆卸进行高温高压消毒。</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3.1</w:t>
            </w:r>
            <w:r>
              <w:rPr>
                <w:rFonts w:hint="eastAsia" w:ascii="宋体" w:hAnsi="宋体" w:eastAsia="宋体" w:cs="宋体"/>
                <w:color w:val="auto"/>
                <w:kern w:val="0"/>
                <w:sz w:val="24"/>
                <w:highlight w:val="none"/>
                <w:lang w:val="en-US" w:eastAsia="zh-CN"/>
              </w:rPr>
              <w:t>5</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配有宽大的器械盘，器械盘尺寸≥320mm×370mm；器械盘可旋转，旋转角度≥30°。</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3.1</w:t>
            </w:r>
            <w:r>
              <w:rPr>
                <w:rFonts w:hint="eastAsia" w:ascii="宋体" w:hAnsi="宋体" w:eastAsia="宋体" w:cs="宋体"/>
                <w:color w:val="auto"/>
                <w:kern w:val="0"/>
                <w:sz w:val="24"/>
                <w:highlight w:val="none"/>
                <w:lang w:val="en-US" w:eastAsia="zh-CN"/>
              </w:rPr>
              <w:t>6</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医生单元：</w:t>
            </w:r>
            <w:r>
              <w:rPr>
                <w:rFonts w:hint="eastAsia" w:ascii="宋体" w:hAnsi="宋体" w:eastAsia="宋体" w:cs="宋体"/>
                <w:color w:val="auto"/>
                <w:kern w:val="0"/>
                <w:sz w:val="22"/>
                <w:szCs w:val="22"/>
                <w:highlight w:val="none"/>
                <w:lang w:eastAsia="zh-CN"/>
              </w:rPr>
              <w:t>三</w:t>
            </w:r>
            <w:r>
              <w:rPr>
                <w:rFonts w:hint="eastAsia" w:ascii="宋体" w:hAnsi="宋体" w:eastAsia="宋体" w:cs="宋体"/>
                <w:color w:val="auto"/>
                <w:kern w:val="0"/>
                <w:sz w:val="22"/>
                <w:szCs w:val="22"/>
                <w:highlight w:val="none"/>
              </w:rPr>
              <w:t>用喷枪1个，带光纤高速皮线2个，低速皮线电马达1个（带镍钛根管功能），内窥镜1个，LED内置洁牙机皮线1个</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四</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护士单元</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4.1</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助手操作台，具有≥</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个器械放置架，电子器械支架开关，预留可升级功能空间。</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4.2</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助手操作台可以根据就诊需求，灵活调整方向</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4.3</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可</w:t>
            </w:r>
            <w:r>
              <w:rPr>
                <w:rFonts w:hint="eastAsia" w:ascii="宋体" w:hAnsi="宋体" w:eastAsia="宋体" w:cs="宋体"/>
                <w:color w:val="auto"/>
                <w:kern w:val="0"/>
                <w:sz w:val="22"/>
                <w:szCs w:val="22"/>
                <w:highlight w:val="none"/>
              </w:rPr>
              <w:t xml:space="preserve">旋转的痰盂；痰盂排水口有易于清洗的过滤网 </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4.4</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痰盂表面光滑，并可整个拆卸出来清洗和消毒；</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4.5</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编程式电子控制水杯注水器：水流均匀，无喷溅；漱口水恒温设置，内置24伏安全电压漱口水加温装置，减少患者牙齿所受的刺激。</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4.6</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标配有深度管路消毒系统</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4.7</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医生/护士面板有程序按键可启动全自动的深度管路消毒程序，程序有每个病人治疗后/每天治疗工作完成后/每周/每个月等不同时间间隔的选择（提供产品说明书或彩页支撑材料）</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4.8</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标配有持续管路消毒系统，只要开机，随机自带的负压下水道清洁液和手机管路清洁液就开始对上下水路做清洁处理（提供产品说明书或彩页支撑材料）</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9</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配置全自动吸唾系统连管线。</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4.1</w:t>
            </w:r>
            <w:r>
              <w:rPr>
                <w:rFonts w:hint="eastAsia" w:ascii="宋体" w:hAnsi="宋体" w:eastAsia="宋体" w:cs="宋体"/>
                <w:color w:val="auto"/>
                <w:kern w:val="0"/>
                <w:sz w:val="24"/>
                <w:highlight w:val="none"/>
                <w:lang w:val="en-US" w:eastAsia="zh-CN"/>
              </w:rPr>
              <w:t>0</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配置全自动强力负吸系统连管线。</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11</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助手位功能：弱吸管</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个，强吸管1个，光固化机1个</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固化时间低于10秒</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三</w:t>
            </w:r>
            <w:r>
              <w:rPr>
                <w:rFonts w:hint="eastAsia" w:ascii="宋体" w:hAnsi="宋体" w:eastAsia="宋体" w:cs="宋体"/>
                <w:color w:val="auto"/>
                <w:kern w:val="0"/>
                <w:sz w:val="22"/>
                <w:szCs w:val="22"/>
                <w:highlight w:val="none"/>
              </w:rPr>
              <w:t>用喷枪1个</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五</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脚控器设计：</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5.1</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标配</w:t>
            </w:r>
            <w:r>
              <w:rPr>
                <w:rFonts w:hint="eastAsia" w:ascii="宋体" w:hAnsi="宋体" w:eastAsia="宋体" w:cs="宋体"/>
                <w:color w:val="auto"/>
                <w:kern w:val="0"/>
                <w:sz w:val="22"/>
                <w:szCs w:val="22"/>
                <w:highlight w:val="none"/>
                <w:lang w:eastAsia="zh-CN"/>
              </w:rPr>
              <w:t>多功能脚踏</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5.2</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通过脚踏的控制手机转速和功率</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5.3</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多功能脚踏可控制椅及器械并具有安全切断功能，使用脚踏控制器可切断设备运转</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5.4</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多功能脚踏可控制器械喷气/喷水/功率转速/电动马达正反转向。</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5.5</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多功能脚踏可控制手动椅位的运动、控制自动椅位的运动。切换2个医生设定相互独立的自动椅位程序。</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六</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手术灯灯设计：</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6.1</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多灯头LED手术灯</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6.2</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所有操作可以通过非接触感应式控制完成</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6.3</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光照度 8,000 到40,000 Lux可调节</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6.4</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至少覆盖4600K～5500K色温范围</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6.5</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显色指数CRI &gt; 90 ，具有较好的比色效果。</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lang w:val="en-US" w:eastAsia="zh-CN"/>
              </w:rPr>
              <w:t>6</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带锁扣的手柄可拆卸，消毒或灭菌。</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lang w:val="en-US" w:eastAsia="zh-CN"/>
              </w:rPr>
              <w:t>7</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安装在转动臂上的光源可进行垂直或水平向的移动，并且具有可锁定的三维关节。</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七</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医生座椅设计</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7.1</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符合人体工程学，可调节的工作状态和休息状态。</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7.2</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坐垫高度、倾斜度、椅背倾斜度可调</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7.3</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调整为工作状态时，支持医生的腰、保证为直立状态，支持长时间工作无不舒适感。</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八</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安全</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8.1</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具有当手机工作时，椅位运动被自动锁定安全功能。保证操作的稳定。</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8.2</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具有当1个手机工作时，其他器械被自动锁定安全功能。可同时操作其他器械的换针等工作，节约操作时间，保证操作流畅</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8.</w:t>
            </w:r>
            <w:r>
              <w:rPr>
                <w:rFonts w:hint="eastAsia" w:ascii="宋体" w:hAnsi="宋体" w:eastAsia="宋体" w:cs="宋体"/>
                <w:color w:val="auto"/>
                <w:kern w:val="0"/>
                <w:sz w:val="24"/>
                <w:highlight w:val="none"/>
                <w:lang w:val="en-US" w:eastAsia="zh-CN"/>
              </w:rPr>
              <w:t>3</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具有电流过载保护装置。保证操作的安全性。</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8.</w:t>
            </w:r>
            <w:r>
              <w:rPr>
                <w:rFonts w:hint="eastAsia" w:ascii="宋体" w:hAnsi="宋体" w:eastAsia="宋体" w:cs="宋体"/>
                <w:color w:val="auto"/>
                <w:kern w:val="0"/>
                <w:sz w:val="24"/>
                <w:highlight w:val="none"/>
                <w:lang w:val="en-US" w:eastAsia="zh-CN"/>
              </w:rPr>
              <w:t>4</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设定有多个安全控制感应器，保证在产生任何非正常操作时，牙椅自动锁定。并设有排除异物的空间，确保排除影响牙椅正常移动的异物。</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8.</w:t>
            </w:r>
            <w:r>
              <w:rPr>
                <w:rFonts w:hint="eastAsia" w:ascii="宋体" w:hAnsi="宋体" w:eastAsia="宋体" w:cs="宋体"/>
                <w:color w:val="auto"/>
                <w:kern w:val="0"/>
                <w:sz w:val="24"/>
                <w:highlight w:val="none"/>
                <w:lang w:val="en-US" w:eastAsia="zh-CN"/>
              </w:rPr>
              <w:t>5</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具有当手机工作时，椅位运动被自动锁定安全功能。保证操作的稳定。</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8.</w:t>
            </w:r>
            <w:r>
              <w:rPr>
                <w:rFonts w:hint="eastAsia" w:ascii="宋体" w:hAnsi="宋体" w:eastAsia="宋体" w:cs="宋体"/>
                <w:color w:val="auto"/>
                <w:kern w:val="0"/>
                <w:sz w:val="24"/>
                <w:highlight w:val="none"/>
                <w:lang w:val="en-US" w:eastAsia="zh-CN"/>
              </w:rPr>
              <w:t>6</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进水和进气需配置过滤减压阀</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8.</w:t>
            </w:r>
            <w:r>
              <w:rPr>
                <w:rFonts w:hint="eastAsia" w:ascii="宋体" w:hAnsi="宋体" w:eastAsia="宋体" w:cs="宋体"/>
                <w:color w:val="auto"/>
                <w:kern w:val="0"/>
                <w:sz w:val="24"/>
                <w:highlight w:val="none"/>
                <w:lang w:val="en-US" w:eastAsia="zh-CN"/>
              </w:rPr>
              <w:t>7</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牙椅配备水转换功能，自来水，纯净水可相互转换，预留有水，气快速接口</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九</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每台设备配置</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90" w:hRule="atLeast"/>
          <w:jc w:val="center"/>
        </w:trPr>
        <w:tc>
          <w:tcPr>
            <w:tcW w:w="916" w:type="dxa"/>
            <w:tcBorders>
              <w:top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9.</w:t>
            </w:r>
            <w:r>
              <w:rPr>
                <w:rFonts w:hint="eastAsia" w:ascii="宋体" w:hAnsi="宋体" w:eastAsia="宋体" w:cs="宋体"/>
                <w:color w:val="auto"/>
                <w:kern w:val="0"/>
                <w:sz w:val="24"/>
                <w:highlight w:val="none"/>
                <w:lang w:val="en-US" w:eastAsia="zh-CN"/>
              </w:rPr>
              <w:t>1</w:t>
            </w:r>
          </w:p>
        </w:tc>
        <w:tc>
          <w:tcPr>
            <w:tcW w:w="77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随机附件：</w:t>
            </w:r>
          </w:p>
          <w:p>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光纤高速手机-</w:t>
            </w:r>
            <w:r>
              <w:rPr>
                <w:rFonts w:hint="eastAsia" w:ascii="宋体" w:hAnsi="宋体" w:eastAsia="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rPr>
              <w:t>支</w:t>
            </w:r>
          </w:p>
          <w:p>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低速弯机-</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低速直机-</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支</w:t>
            </w:r>
          </w:p>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镍钛机头-</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lang w:val="en-US" w:eastAsia="zh-CN"/>
              </w:rPr>
              <w:t>三</w:t>
            </w:r>
            <w:r>
              <w:rPr>
                <w:rFonts w:hint="eastAsia" w:ascii="宋体" w:hAnsi="宋体" w:eastAsia="宋体" w:cs="宋体"/>
                <w:color w:val="auto"/>
                <w:kern w:val="0"/>
                <w:sz w:val="22"/>
                <w:szCs w:val="22"/>
                <w:highlight w:val="none"/>
              </w:rPr>
              <w:t>用喷枪枪头-</w:t>
            </w:r>
            <w:r>
              <w:rPr>
                <w:rFonts w:hint="eastAsia" w:ascii="宋体" w:hAnsi="宋体" w:eastAsia="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rPr>
              <w:t>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LED洁牙机手柄-</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洁牙机手柄锁-</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洁牙针中号-</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洁牙针小号-</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原装医生</w:t>
            </w:r>
            <w:r>
              <w:rPr>
                <w:rFonts w:hint="eastAsia" w:ascii="宋体" w:hAnsi="宋体" w:eastAsia="宋体" w:cs="宋体"/>
                <w:color w:val="auto"/>
                <w:kern w:val="0"/>
                <w:sz w:val="22"/>
                <w:szCs w:val="22"/>
                <w:highlight w:val="none"/>
                <w:lang w:val="en-US" w:eastAsia="zh-CN"/>
              </w:rPr>
              <w:t>座椅</w:t>
            </w:r>
            <w:r>
              <w:rPr>
                <w:rFonts w:hint="eastAsia" w:ascii="宋体" w:hAnsi="宋体" w:eastAsia="宋体" w:cs="宋体"/>
                <w:color w:val="auto"/>
                <w:kern w:val="0"/>
                <w:sz w:val="22"/>
                <w:szCs w:val="22"/>
                <w:highlight w:val="none"/>
              </w:rPr>
              <w:t>1把</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原装护士座椅1把</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吸唾过滤网5个</w:t>
            </w:r>
          </w:p>
        </w:tc>
        <w:tc>
          <w:tcPr>
            <w:tcW w:w="1308" w:type="dxa"/>
            <w:tcBorders>
              <w:top w:val="nil"/>
              <w:left w:val="nil"/>
              <w:bottom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916" w:type="dxa"/>
            <w:tcBorders>
              <w:top w:val="nil"/>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9.</w:t>
            </w:r>
            <w:r>
              <w:rPr>
                <w:rFonts w:hint="eastAsia" w:ascii="宋体" w:hAnsi="宋体" w:eastAsia="宋体" w:cs="宋体"/>
                <w:color w:val="auto"/>
                <w:kern w:val="0"/>
                <w:sz w:val="24"/>
                <w:highlight w:val="none"/>
                <w:lang w:val="en-US" w:eastAsia="zh-CN"/>
              </w:rPr>
              <w:t>2</w:t>
            </w:r>
          </w:p>
        </w:tc>
        <w:tc>
          <w:tcPr>
            <w:tcW w:w="7772" w:type="dxa"/>
            <w:tcBorders>
              <w:top w:val="nil"/>
              <w:left w:val="nil"/>
              <w:right w:val="single" w:color="auto" w:sz="4" w:space="0"/>
            </w:tcBorders>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整机质保≥5年，提供主要配件及易损件报价清单，格式自定，包括但不限于各种阀门、三用枪、三用枪头、强弱吸手柄、电路板、传感器等</w:t>
            </w:r>
          </w:p>
        </w:tc>
        <w:tc>
          <w:tcPr>
            <w:tcW w:w="1308" w:type="dxa"/>
            <w:tcBorders>
              <w:top w:val="nil"/>
              <w:left w:val="nil"/>
            </w:tcBorders>
            <w:shd w:val="clear" w:color="auto" w:fill="auto"/>
            <w:vAlign w:val="center"/>
          </w:tcPr>
          <w:p>
            <w:pPr>
              <w:widowControl/>
              <w:jc w:val="left"/>
              <w:textAlignment w:val="center"/>
              <w:rPr>
                <w:rFonts w:hint="eastAsia" w:ascii="宋体" w:hAnsi="宋体" w:eastAsia="宋体" w:cs="宋体"/>
                <w:color w:val="auto"/>
                <w:kern w:val="0"/>
                <w:sz w:val="22"/>
                <w:szCs w:val="22"/>
                <w:highlight w:val="none"/>
              </w:rPr>
            </w:pPr>
          </w:p>
        </w:tc>
      </w:tr>
    </w:tbl>
    <w:p>
      <w:pPr>
        <w:rPr>
          <w:rFonts w:hint="eastAsia"/>
          <w:lang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 xml:space="preserve">设备二  </w:t>
      </w:r>
      <w:r>
        <w:rPr>
          <w:rFonts w:hint="eastAsia" w:ascii="Calibri" w:hAnsi="Calibri" w:eastAsia="宋体" w:cs="Times New Roman"/>
          <w:b/>
          <w:color w:val="000000"/>
          <w:sz w:val="28"/>
          <w:szCs w:val="28"/>
          <w:u w:val="single"/>
          <w:lang w:val="en-US" w:eastAsia="zh-CN"/>
        </w:rPr>
        <w:t>2套冷冻干燥机</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rPr>
          <w:rFonts w:hint="eastAsia"/>
          <w:lang w:eastAsia="zh-CN"/>
        </w:rPr>
      </w:pPr>
    </w:p>
    <w:tbl>
      <w:tblPr>
        <w:tblStyle w:val="9"/>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7416"/>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00" w:type="dxa"/>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序号</w:t>
            </w:r>
          </w:p>
        </w:tc>
        <w:tc>
          <w:tcPr>
            <w:tcW w:w="7416"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技术参数</w:t>
            </w:r>
          </w:p>
        </w:tc>
        <w:tc>
          <w:tcPr>
            <w:tcW w:w="1582" w:type="dxa"/>
            <w:shd w:val="clear" w:color="auto" w:fill="auto"/>
            <w:vAlign w:val="center"/>
          </w:tcPr>
          <w:p>
            <w:pPr>
              <w:widowControl/>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集冰量4.5L，除水量2L/24小时，冷阱体积：10L</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环氧树脂涂层钢柜、直立式不锈钢冷阱</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1/3马力的大容量无氟制冷系统，可制冷使冷阱温度低至-84摄氏度</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冷阱温度可用摄氏度或华氏度表示</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冷阱水分报警连锁装置，可在冷阱未完全干燥时阻止冷阱和真空启动</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LCD显示温度和真空度，可用mBar,Pa,Torr显示系统真空度, 并在三种单位间自由切换，可以用℃和°F来显示，真空度从1. 5mbar至最低真能空度之间任意可调；</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多点LED形成波形，根据其亮的点数可远距离知晓真空度和温度</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9英寸长的冷凝排水管可从侧面除霜</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标准配置，提供一根3英尺长，3/4"内径真空管和两个管箍</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真空泵：抽气量117L/min。极限真空度≤2*10-3 mbar</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压盖干燥室能够对血清瓶进行自动压盖</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12</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真空显示范围:0.001~5 mBar，精度0.001 mbar;真空控制范围:0.02~1.65 mBar，精度0.02 mbar(最低气压取决于真空泵性能)，具有CE认证</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0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w:t>
            </w:r>
          </w:p>
        </w:tc>
        <w:tc>
          <w:tcPr>
            <w:tcW w:w="7416" w:type="dxa"/>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配置要求：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1）主机1台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2）-84度冷阱1套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3）真空泵1台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4）干燥室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5）广口样品瓶 1套</w:t>
            </w:r>
          </w:p>
        </w:tc>
        <w:tc>
          <w:tcPr>
            <w:tcW w:w="1582" w:type="dxa"/>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p>
        </w:tc>
      </w:tr>
    </w:tbl>
    <w:p>
      <w:pPr>
        <w:pStyle w:val="2"/>
        <w:rPr>
          <w:rFonts w:hint="eastAsia"/>
          <w:lang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设备三  1</w:t>
      </w:r>
      <w:r>
        <w:rPr>
          <w:rFonts w:hint="eastAsia" w:ascii="Calibri" w:hAnsi="Calibri" w:eastAsia="宋体" w:cs="Times New Roman"/>
          <w:b/>
          <w:color w:val="000000"/>
          <w:sz w:val="28"/>
          <w:szCs w:val="28"/>
          <w:u w:val="single"/>
          <w:lang w:val="en-US" w:eastAsia="zh-CN"/>
        </w:rPr>
        <w:t>套单细胞质谱分析系统</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tbl>
      <w:tblPr>
        <w:tblStyle w:val="9"/>
        <w:tblpPr w:leftFromText="180" w:rightFromText="180" w:vertAnchor="text" w:horzAnchor="page" w:tblpX="1154" w:tblpY="287"/>
        <w:tblOverlap w:val="never"/>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728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98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序号</w:t>
            </w:r>
          </w:p>
        </w:tc>
        <w:tc>
          <w:tcPr>
            <w:tcW w:w="7286"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参数</w:t>
            </w:r>
          </w:p>
        </w:tc>
        <w:tc>
          <w:tcPr>
            <w:tcW w:w="1392" w:type="dxa"/>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最大通道数量：</w:t>
            </w:r>
            <w:r>
              <w:rPr>
                <w:rFonts w:hint="eastAsia" w:ascii="宋体" w:hAnsi="宋体" w:eastAsia="宋体" w:cs="宋体"/>
                <w:i w:val="0"/>
                <w:iCs w:val="0"/>
                <w:color w:val="000000"/>
                <w:kern w:val="0"/>
                <w:sz w:val="22"/>
                <w:szCs w:val="22"/>
                <w:u w:val="none"/>
                <w:lang w:val="en-US" w:eastAsia="zh-CN" w:bidi="ar"/>
              </w:rPr>
              <w:t>≥135个</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质谱丰度灵敏度：在 Tb159 M±1 通道上&lt;0.1%</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仪器稳定性： CV &lt;2% </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highlight w:val="none"/>
              </w:rPr>
            </w:pPr>
            <w:r>
              <w:rPr>
                <w:rFonts w:hint="eastAsia" w:ascii="宋体" w:hAnsi="宋体" w:eastAsia="宋体" w:cs="宋体"/>
                <w:i w:val="0"/>
                <w:iCs w:val="0"/>
                <w:color w:val="000000"/>
                <w:kern w:val="0"/>
                <w:sz w:val="22"/>
                <w:szCs w:val="22"/>
                <w:u w:val="none"/>
                <w:lang w:val="en-US" w:eastAsia="zh-CN" w:bidi="ar"/>
              </w:rPr>
              <w:t>针对客户自行定制的抗体，厂家提供将裸抗和标签组合成直标抗体的操作说明和服务，消除抗体种属来源限制</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可与组合标记技术 Barcoding 相结合，支持10 种以上样本同时检测，Barcoding 标签与抗体标签不重叠</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仪器分辨率：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仪器检测灵敏度：</w:t>
            </w:r>
            <w:r>
              <w:rPr>
                <w:rFonts w:hint="default" w:ascii="宋体" w:hAnsi="宋体" w:eastAsia="宋体" w:cs="宋体"/>
                <w:i w:val="0"/>
                <w:iCs w:val="0"/>
                <w:color w:val="000000" w:themeColor="text1"/>
                <w:kern w:val="0"/>
                <w:sz w:val="22"/>
                <w:szCs w:val="22"/>
                <w:highlight w:val="none"/>
                <w:u w:val="none"/>
                <w:lang w:val="en-US" w:eastAsia="zh-CN"/>
                <w14:textFill>
                  <w14:solidFill>
                    <w14:schemeClr w14:val="tx1"/>
                  </w14:solidFill>
                </w14:textFill>
              </w:rPr>
              <w:t>8</w:t>
            </w:r>
            <w:r>
              <w:rPr>
                <w:rFonts w:hint="eastAsia" w:ascii="宋体" w:hAnsi="宋体" w:eastAsia="宋体" w:cs="宋体"/>
                <w:i w:val="0"/>
                <w:iCs w:val="0"/>
                <w:color w:val="000000" w:themeColor="text1"/>
                <w:kern w:val="0"/>
                <w:sz w:val="22"/>
                <w:szCs w:val="22"/>
                <w:highlight w:val="none"/>
                <w:u w:val="none"/>
                <w:lang w:val="en-US" w:eastAsia="zh-CN"/>
                <w14:textFill>
                  <w14:solidFill>
                    <w14:schemeClr w14:val="tx1"/>
                  </w14:solidFill>
                </w14:textFill>
              </w:rPr>
              <w:t>*10^5 cps (1ppb Tb159)</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TOF 采样频率：77KHz（取决于分辨率）</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检测器采样频率：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不少于1Gs/S，8Bit</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细胞平均采集速度：＞1000 个/秒，峰值采集速度＞2000 个/秒</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检测质量范围：</w:t>
            </w:r>
            <w:r>
              <w:rPr>
                <w:rFonts w:hint="eastAsia" w:cs="宋体"/>
                <w:i w:val="0"/>
                <w:iCs w:val="0"/>
                <w:color w:val="000000" w:themeColor="text1"/>
                <w:kern w:val="0"/>
                <w:sz w:val="22"/>
                <w:szCs w:val="22"/>
                <w:highlight w:val="none"/>
                <w:u w:val="none"/>
                <w:lang w:val="en-US" w:eastAsia="zh-CN" w:bidi="ar"/>
                <w14:textFill>
                  <w14:solidFill>
                    <w14:schemeClr w14:val="tx1"/>
                  </w14:solidFill>
                </w14:textFill>
              </w:rPr>
              <w:t>至少覆盖</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75~209amu</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内置全自动进样系统，兼容流式管（48 管）、96 孔板、深孔板，有制冷功能</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设备配备全流路自动清洗，包括进样针外壁、内管路、全进样流路，集成缓冲液和废液收集系统</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样本采集可达到单细胞分辨率。采集过程中可看到单细胞上指定检测蛋白的表达与否</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稳定进样时，进样器流速为： 30-45μl/min 可调</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80" w:type="dxa"/>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7286" w:type="dxa"/>
            <w:shd w:val="clear" w:color="auto" w:fill="auto"/>
            <w:vAlign w:val="center"/>
          </w:tcPr>
          <w:p>
            <w:pPr>
              <w:keepNext w:val="0"/>
              <w:keepLines w:val="0"/>
              <w:widowControl/>
              <w:suppressLineNumbers w:val="0"/>
              <w:jc w:val="left"/>
              <w:textAlignment w:val="center"/>
              <w:rPr>
                <w:rFonts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雾化器：雾化气体为氩气，流量约为0.14-0.55L/min</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8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728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雾化室：温度控制在 100~200℃，通入的组成气体（makeupgas）为氩气，流量约为 0.35~0.90L/min</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8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728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ICP 射频电源：实际运行功率＞1000W</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8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728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配有全中文人机操作界面，实时监控仪器各部分的状态</w:t>
            </w:r>
          </w:p>
        </w:tc>
        <w:tc>
          <w:tcPr>
            <w:tcW w:w="1392" w:type="dxa"/>
            <w:shd w:val="clear" w:color="auto" w:fill="auto"/>
            <w:vAlign w:val="center"/>
          </w:tcPr>
          <w:p>
            <w:pPr>
              <w:widowControl/>
              <w:jc w:val="left"/>
              <w:rPr>
                <w:rFonts w:hint="eastAsia" w:ascii="宋体" w:hAnsi="宋体" w:eastAsia="宋体" w:cs="宋体"/>
                <w:color w:val="000000"/>
                <w:kern w:val="0"/>
                <w:sz w:val="22"/>
                <w:highlight w:val="none"/>
              </w:rPr>
            </w:pPr>
          </w:p>
        </w:tc>
      </w:tr>
    </w:tbl>
    <w:p>
      <w:pPr>
        <w:rPr>
          <w:rFonts w:hint="eastAsia"/>
          <w:lang w:eastAsia="zh-CN"/>
        </w:rPr>
      </w:pPr>
    </w:p>
    <w:p>
      <w:pPr>
        <w:pStyle w:val="2"/>
        <w:rPr>
          <w:rFonts w:hint="eastAsia"/>
          <w:lang w:eastAsia="zh-CN"/>
        </w:rPr>
      </w:pP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设备四 2套</w:t>
      </w:r>
      <w:r>
        <w:rPr>
          <w:rFonts w:hint="eastAsia" w:ascii="Calibri" w:hAnsi="Calibri" w:eastAsia="宋体" w:cs="Times New Roman"/>
          <w:b/>
          <w:color w:val="000000"/>
          <w:sz w:val="28"/>
          <w:szCs w:val="28"/>
          <w:u w:val="single"/>
          <w:lang w:val="en-US" w:eastAsia="zh-CN"/>
        </w:rPr>
        <w:t>真空干燥箱</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1、使用温度范围：包含40℃—200℃；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2、温度波动度：±0.5℃（at 200℃）；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3、外装材料：冷轧钢板、表面耐药品涂装；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4、内装材料：不锈钢板；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5、断热材：玻璃纤维；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6、加热方式：压力槽壁面直接加热或隔板加热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7、观察窗：钢化玻璃+安全保护树脂面板，尺寸：≥400mm*≥470mm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8、真空表：指针式-100-0.1Kpa；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9、结构：内置真空泵（真空泵内置于设备内） (提供实物照片支撑）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10、真空泵安装室（宽深高mm）：≥320*≥600*≥540；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11、温度控制方式：3段PID分别控制高、中、低温度区域段；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12、运行功能：定值运行、程序控制运行、自动开始、自动停止；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13、程序模式：程序运行3段30步（30步X1、15步X2、10步X3）；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14、附加功能：温度偏差修正功能、停电补偿功能、按键锁定功能；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15、定时：1分-99小时59分或100-999小时50分钟（带定时功能） ；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16、安全装置：故障自我诊断功能（温度传感器异常、加热器断线、自动过升防止、SSR短路）、过温防止器、漏电保护开关、按键锁定等功能；</w:t>
            </w:r>
            <w:bookmarkStart w:id="0" w:name="_GoBack"/>
            <w:bookmarkEnd w:id="0"/>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17、内容积：≥90L；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18、快接式KF25真空法兰接口，连接方便；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19、不锈钢冲压网板：2件；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20、棚板层数：≥2层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21、当设备产生故障时，仪表会显示相应的故障代码，以便快速找出故障原因；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22、配置进口品牌真空泵，配有气镇阀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23、具有油防逆流装置，在断电时能保护真空箱；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24、非常大型油位观察窗，清晰观察油位；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25、强制供油机构能能保证从大气到真空的整个排气过程中，保持油润滑和密封；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26、真空泵几何抽速：≥240L/min（提供彩页支撑）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27、极限压力：6.7X10-1pa（提供彩页支撑）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28、交货期限为接到采购人电话通知后7个日历日； </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29、质保：整机≥三年（需提供厂家售后承诺书） </w:t>
            </w:r>
          </w:p>
        </w:tc>
        <w:tc>
          <w:tcPr>
            <w:tcW w:w="1701" w:type="dxa"/>
          </w:tcPr>
          <w:p>
            <w:pPr>
              <w:spacing w:line="276" w:lineRule="auto"/>
              <w:jc w:val="left"/>
              <w:rPr>
                <w:rFonts w:ascii="宋体" w:hAnsi="宋体"/>
                <w:b/>
                <w:sz w:val="24"/>
                <w:szCs w:val="24"/>
              </w:rPr>
            </w:pPr>
          </w:p>
        </w:tc>
      </w:tr>
    </w:tbl>
    <w:p>
      <w:pPr>
        <w:rPr>
          <w:rFonts w:hint="eastAsia"/>
          <w:lang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d0bef9b3-e57e-47c3-b14c-39c2c43f5fa8"/>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2E51C21"/>
    <w:rsid w:val="03C216AE"/>
    <w:rsid w:val="0A38044E"/>
    <w:rsid w:val="105765E1"/>
    <w:rsid w:val="11E46932"/>
    <w:rsid w:val="15962639"/>
    <w:rsid w:val="18990280"/>
    <w:rsid w:val="194F58BE"/>
    <w:rsid w:val="1B300109"/>
    <w:rsid w:val="1EE15908"/>
    <w:rsid w:val="27BB7BC4"/>
    <w:rsid w:val="2F1C1962"/>
    <w:rsid w:val="33020198"/>
    <w:rsid w:val="375C6DE7"/>
    <w:rsid w:val="38635F53"/>
    <w:rsid w:val="43BD084E"/>
    <w:rsid w:val="4B300B57"/>
    <w:rsid w:val="5AD00FA7"/>
    <w:rsid w:val="60701C05"/>
    <w:rsid w:val="64C50CB4"/>
    <w:rsid w:val="64C51278"/>
    <w:rsid w:val="6ABE0C43"/>
    <w:rsid w:val="6D4713C4"/>
    <w:rsid w:val="6FEA072C"/>
    <w:rsid w:val="710C1EC5"/>
    <w:rsid w:val="74A565C1"/>
    <w:rsid w:val="770C0F88"/>
    <w:rsid w:val="773E7889"/>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0"/>
      </w:numPr>
      <w:spacing w:line="360" w:lineRule="auto"/>
      <w:outlineLvl w:val="0"/>
    </w:pPr>
    <w:rPr>
      <w:rFonts w:ascii="宋体" w:hAnsi="宋体" w:cs="Times New Roman"/>
      <w:color w:val="000000"/>
      <w:kern w:val="44"/>
      <w:sz w:val="28"/>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Body Text"/>
    <w:basedOn w:val="1"/>
    <w:link w:val="21"/>
    <w:unhideWhenUsed/>
    <w:qFormat/>
    <w:uiPriority w:val="99"/>
    <w:pPr>
      <w:snapToGrid w:val="0"/>
      <w:spacing w:line="440" w:lineRule="exact"/>
    </w:pPr>
    <w:rPr>
      <w:rFonts w:ascii="Times New Roman" w:hAnsi="Times New Roman" w:eastAsia="宋体" w:cs="Times New Roman"/>
      <w:kern w:val="0"/>
      <w:sz w:val="20"/>
      <w:szCs w:val="20"/>
    </w:rPr>
  </w:style>
  <w:style w:type="paragraph" w:styleId="5">
    <w:name w:val="Body Text Indent"/>
    <w:basedOn w:val="1"/>
    <w:link w:val="17"/>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6">
    <w:name w:val="Plain Text"/>
    <w:basedOn w:val="1"/>
    <w:link w:val="20"/>
    <w:qFormat/>
    <w:uiPriority w:val="0"/>
    <w:rPr>
      <w:rFonts w:ascii="宋体" w:hAnsi="Courier New" w:eastAsia="宋体" w:cs="Times New Roman"/>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qFormat/>
    <w:uiPriority w:val="0"/>
    <w:rPr>
      <w:rFonts w:ascii="宋体" w:hAnsi="宋体" w:eastAsia="宋体" w:cs="Times New Roman"/>
      <w:sz w:val="28"/>
      <w:szCs w:val="24"/>
    </w:rPr>
  </w:style>
  <w:style w:type="character" w:customStyle="1" w:styleId="17">
    <w:name w:val="正文文本缩进 Char1"/>
    <w:basedOn w:val="11"/>
    <w:link w:val="5"/>
    <w:semiHidden/>
    <w:qFormat/>
    <w:uiPriority w:val="99"/>
  </w:style>
  <w:style w:type="character" w:customStyle="1" w:styleId="18">
    <w:name w:val="font1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eastAsia" w:ascii="宋体" w:hAnsi="宋体" w:eastAsia="宋体" w:cs="宋体"/>
      <w:b/>
      <w:bCs/>
      <w:color w:val="000000"/>
      <w:sz w:val="24"/>
      <w:szCs w:val="24"/>
      <w:u w:val="none"/>
    </w:rPr>
  </w:style>
  <w:style w:type="character" w:customStyle="1" w:styleId="20">
    <w:name w:val="纯文本 Char"/>
    <w:basedOn w:val="11"/>
    <w:link w:val="6"/>
    <w:qFormat/>
    <w:uiPriority w:val="0"/>
    <w:rPr>
      <w:rFonts w:ascii="宋体" w:hAnsi="Courier New" w:eastAsia="宋体" w:cs="Times New Roman"/>
      <w:szCs w:val="20"/>
    </w:rPr>
  </w:style>
  <w:style w:type="character" w:customStyle="1" w:styleId="21">
    <w:name w:val="正文文本 Char"/>
    <w:basedOn w:val="11"/>
    <w:link w:val="4"/>
    <w:qFormat/>
    <w:uiPriority w:val="99"/>
    <w:rPr>
      <w:rFonts w:ascii="Times New Roman" w:hAnsi="Times New Roman" w:eastAsia="宋体" w:cs="Times New Roman"/>
      <w:kern w:val="0"/>
      <w:sz w:val="20"/>
      <w:szCs w:val="20"/>
    </w:rPr>
  </w:style>
  <w:style w:type="character" w:customStyle="1" w:styleId="22">
    <w:name w:val="font41"/>
    <w:basedOn w:val="11"/>
    <w:qFormat/>
    <w:uiPriority w:val="0"/>
    <w:rPr>
      <w:rFonts w:hint="default" w:ascii="Times New Roman" w:hAnsi="Times New Roman" w:cs="Times New Roman"/>
      <w:color w:val="000000"/>
      <w:sz w:val="20"/>
      <w:szCs w:val="20"/>
      <w:u w:val="none"/>
    </w:rPr>
  </w:style>
  <w:style w:type="character" w:customStyle="1" w:styleId="23">
    <w:name w:val="font31"/>
    <w:basedOn w:val="11"/>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firstLine="420" w:firstLineChars="200"/>
    </w:pPr>
    <w:rPr>
      <w:rFonts w:ascii="仿宋" w:hAnsi="仿宋" w:eastAsia="仿宋" w:cs="Times New Roman"/>
      <w:szCs w:val="24"/>
    </w:rPr>
  </w:style>
  <w:style w:type="character" w:customStyle="1" w:styleId="25">
    <w:name w:val="fontstyle01"/>
    <w:basedOn w:val="11"/>
    <w:qFormat/>
    <w:uiPriority w:val="0"/>
    <w:rPr>
      <w:rFonts w:hint="eastAsia" w:ascii="宋体" w:hAnsi="宋体" w:eastAsia="宋体"/>
      <w:color w:val="000000"/>
      <w:sz w:val="18"/>
      <w:szCs w:val="18"/>
    </w:rPr>
  </w:style>
  <w:style w:type="character" w:customStyle="1" w:styleId="26">
    <w:name w:val="font71"/>
    <w:basedOn w:val="11"/>
    <w:qFormat/>
    <w:uiPriority w:val="0"/>
    <w:rPr>
      <w:rFonts w:hint="default" w:ascii="Times New Roman" w:hAnsi="Times New Roman" w:cs="Times New Roman"/>
      <w:color w:val="000000"/>
      <w:sz w:val="16"/>
      <w:szCs w:val="16"/>
      <w:u w:val="none"/>
    </w:rPr>
  </w:style>
  <w:style w:type="character" w:customStyle="1" w:styleId="27">
    <w:name w:val="font61"/>
    <w:basedOn w:val="11"/>
    <w:qFormat/>
    <w:uiPriority w:val="0"/>
    <w:rPr>
      <w:rFonts w:hint="eastAsia" w:ascii="宋体" w:hAnsi="宋体" w:eastAsia="宋体" w:cs="宋体"/>
      <w:color w:val="000000"/>
      <w:sz w:val="16"/>
      <w:szCs w:val="16"/>
      <w:u w:val="none"/>
    </w:rPr>
  </w:style>
  <w:style w:type="character" w:customStyle="1" w:styleId="28">
    <w:name w:val="font81"/>
    <w:basedOn w:val="11"/>
    <w:qFormat/>
    <w:uiPriority w:val="0"/>
    <w:rPr>
      <w:rFonts w:ascii="sans-serif" w:hAnsi="sans-serif" w:eastAsia="sans-serif" w:cs="sans-serif"/>
      <w:color w:val="000000"/>
      <w:sz w:val="22"/>
      <w:szCs w:val="22"/>
      <w:u w:val="none"/>
    </w:rPr>
  </w:style>
  <w:style w:type="character" w:customStyle="1" w:styleId="29">
    <w:name w:val="font91"/>
    <w:basedOn w:val="11"/>
    <w:qFormat/>
    <w:uiPriority w:val="0"/>
    <w:rPr>
      <w:rFonts w:hint="default" w:ascii="sans-serif" w:hAnsi="sans-serif" w:eastAsia="sans-serif" w:cs="sans-serif"/>
      <w:color w:val="000000"/>
      <w:sz w:val="22"/>
      <w:szCs w:val="22"/>
      <w:u w:val="none"/>
    </w:rPr>
  </w:style>
  <w:style w:type="character" w:customStyle="1" w:styleId="30">
    <w:name w:val="font1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8</Pages>
  <Words>4573</Words>
  <Characters>5196</Characters>
  <Lines>7</Lines>
  <Paragraphs>2</Paragraphs>
  <TotalTime>1</TotalTime>
  <ScaleCrop>false</ScaleCrop>
  <LinksUpToDate>false</LinksUpToDate>
  <CharactersWithSpaces>5486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2024-09-09T08:51:57Z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1DB84CB16B504A8DA73D8C9949382603_13</vt:lpwstr>
  </property>
</Properties>
</file>