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8</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15</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8</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21</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lang w:val="en-US" w:eastAsia="zh-CN"/>
        </w:rPr>
        <w:t>XXXX</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lang w:val="en-US" w:eastAsia="zh-CN"/>
        </w:rPr>
        <w:t>XXXXXX</w:t>
      </w:r>
      <w:r>
        <w:rPr>
          <w:rFonts w:hint="eastAsia" w:cs="Tahoma" w:asciiTheme="minorEastAsia" w:hAnsiTheme="minorEastAsia"/>
          <w:b/>
          <w:color w:val="333333"/>
          <w:sz w:val="28"/>
          <w:szCs w:val="28"/>
          <w:highlight w:val="none"/>
          <w:shd w:val="clear" w:color="auto" w:fill="FFFFFF"/>
        </w:rPr>
        <w:t>报价表》。</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eastAsia="zh-CN"/>
        </w:rPr>
        <w:t>李</w:t>
      </w:r>
      <w:r>
        <w:rPr>
          <w:rFonts w:hint="eastAsia" w:cs="Tahoma" w:asciiTheme="minorEastAsia" w:hAnsiTheme="minorEastAsia"/>
          <w:b/>
          <w:color w:val="333333"/>
          <w:sz w:val="28"/>
          <w:szCs w:val="28"/>
          <w:highlight w:val="none"/>
          <w:shd w:val="clear" w:color="auto" w:fill="FFFFFF"/>
        </w:rPr>
        <w:t>老师023-88132866</w:t>
      </w:r>
      <w:r>
        <w:rPr>
          <w:rFonts w:hint="eastAsia" w:cs="Tahoma" w:asciiTheme="minorEastAsia" w:hAnsiTheme="minorEastAsia"/>
          <w:b/>
          <w:color w:val="333333"/>
          <w:sz w:val="28"/>
          <w:szCs w:val="28"/>
          <w:shd w:val="clear" w:color="auto" w:fill="FFFFFF"/>
        </w:rPr>
        <w:t>。</w:t>
      </w:r>
    </w:p>
    <w:p>
      <w:pPr>
        <w:jc w:val="center"/>
        <w:rPr>
          <w:b/>
          <w:color w:val="000000"/>
          <w:sz w:val="28"/>
          <w:szCs w:val="28"/>
        </w:rPr>
      </w:pPr>
      <w:r>
        <w:rPr>
          <w:rFonts w:hint="eastAsia" w:ascii="Calibri" w:hAnsi="Calibri" w:eastAsia="宋体" w:cs="Times New Roman"/>
          <w:b/>
          <w:color w:val="000000"/>
          <w:sz w:val="28"/>
          <w:szCs w:val="28"/>
          <w:lang w:val="en-US" w:eastAsia="zh-CN"/>
        </w:rPr>
        <w:t xml:space="preserve">  尚医楼实验室安全系统采购</w:t>
      </w:r>
      <w:r>
        <w:rPr>
          <w:rFonts w:hint="eastAsia" w:ascii="Calibri" w:hAnsi="Calibri" w:eastAsia="宋体" w:cs="Times New Roman"/>
          <w:b/>
          <w:color w:val="000000"/>
          <w:sz w:val="28"/>
          <w:szCs w:val="28"/>
        </w:rPr>
        <w:t>项目</w:t>
      </w:r>
    </w:p>
    <w:tbl>
      <w:tblPr>
        <w:tblStyle w:val="12"/>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eastAsia="zh-CN"/>
              </w:rPr>
              <w:t>质保期</w:t>
            </w:r>
            <w:r>
              <w:rPr>
                <w:rFonts w:hint="eastAsia" w:ascii="宋体" w:hAnsi="宋体" w:eastAsia="宋体" w:cs="宋体"/>
                <w:sz w:val="24"/>
                <w:szCs w:val="24"/>
                <w:lang w:val="en-US" w:eastAsia="zh-CN"/>
              </w:rPr>
              <w:t xml:space="preserve"> </w:t>
            </w:r>
            <w:bookmarkStart w:id="17" w:name="_GoBack"/>
            <w:bookmarkEnd w:id="17"/>
            <w:r>
              <w:rPr>
                <w:rFonts w:hint="eastAsia" w:ascii="宋体" w:hAnsi="宋体" w:eastAsia="宋体" w:cs="宋体"/>
                <w:sz w:val="24"/>
                <w:szCs w:val="24"/>
                <w:lang w:val="en-US" w:eastAsia="zh-CN"/>
              </w:rPr>
              <w:t xml:space="preserve"> 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w:t>
            </w:r>
            <w:r>
              <w:rPr>
                <w:rFonts w:hint="eastAsia" w:ascii="宋体" w:hAnsi="宋体" w:eastAsia="宋体" w:cs="Times New Roman"/>
                <w:b/>
                <w:sz w:val="24"/>
                <w:szCs w:val="24"/>
                <w:lang w:eastAsia="zh-CN"/>
              </w:rPr>
              <w:t>服务</w:t>
            </w:r>
            <w:r>
              <w:rPr>
                <w:rFonts w:hint="eastAsia" w:ascii="宋体" w:hAnsi="宋体" w:eastAsia="宋体" w:cs="Times New Roman"/>
                <w:b/>
                <w:sz w:val="24"/>
                <w:szCs w:val="24"/>
              </w:rPr>
              <w:t>技术</w:t>
            </w:r>
            <w:r>
              <w:rPr>
                <w:rFonts w:hint="eastAsia" w:ascii="宋体" w:hAnsi="宋体" w:eastAsia="宋体" w:cs="Times New Roman"/>
                <w:b/>
                <w:sz w:val="24"/>
                <w:szCs w:val="24"/>
                <w:lang w:eastAsia="zh-CN"/>
              </w:rPr>
              <w:t>及商务</w:t>
            </w:r>
            <w:r>
              <w:rPr>
                <w:rFonts w:hint="eastAsia" w:ascii="宋体" w:hAnsi="宋体" w:eastAsia="宋体" w:cs="Times New Roman"/>
                <w:b/>
                <w:sz w:val="24"/>
                <w:szCs w:val="24"/>
              </w:rPr>
              <w:t>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附后</w:t>
            </w:r>
          </w:p>
        </w:tc>
        <w:tc>
          <w:tcPr>
            <w:tcW w:w="1701" w:type="dxa"/>
          </w:tcPr>
          <w:p>
            <w:pPr>
              <w:spacing w:line="276" w:lineRule="auto"/>
              <w:jc w:val="left"/>
              <w:rPr>
                <w:rFonts w:ascii="宋体" w:hAnsi="宋体"/>
                <w:b/>
                <w:sz w:val="24"/>
                <w:szCs w:val="24"/>
              </w:rPr>
            </w:pPr>
          </w:p>
        </w:tc>
      </w:tr>
    </w:tbl>
    <w:p>
      <w:pPr>
        <w:jc w:val="left"/>
        <w:rPr>
          <w:b/>
          <w:color w:val="FF0000"/>
          <w:sz w:val="28"/>
          <w:szCs w:val="28"/>
        </w:rPr>
      </w:pPr>
    </w:p>
    <w:p>
      <w:pPr>
        <w:jc w:val="left"/>
        <w:rPr>
          <w:rFonts w:hint="eastAsia"/>
          <w:b/>
          <w:color w:val="FF0000"/>
          <w:sz w:val="28"/>
          <w:szCs w:val="28"/>
        </w:rPr>
      </w:pPr>
      <w:r>
        <w:rPr>
          <w:rFonts w:hint="eastAsia"/>
          <w:b/>
          <w:color w:val="FF0000"/>
          <w:sz w:val="28"/>
          <w:szCs w:val="28"/>
        </w:rPr>
        <w:t>备注：供应商还需提供投标产品成交记录:合同扫描件/中标通知书扫描件/公示结果网络链接及截图均可,能从中看出投标产品型号配置等信息。</w:t>
      </w: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附件：</w:t>
      </w:r>
    </w:p>
    <w:p>
      <w:pPr>
        <w:pStyle w:val="4"/>
        <w:jc w:val="center"/>
        <w:rPr>
          <w:rFonts w:hint="eastAsia"/>
        </w:rPr>
      </w:pPr>
      <w:bookmarkStart w:id="0" w:name="_Toc98942879"/>
      <w:bookmarkStart w:id="1" w:name="_Toc19113857"/>
      <w:bookmarkStart w:id="2" w:name="_Toc98942880"/>
      <w:r>
        <w:rPr>
          <w:rFonts w:hint="eastAsia" w:ascii="宋体" w:hAnsi="宋体" w:eastAsia="宋体" w:cs="宋体"/>
          <w:b/>
          <w:bCs/>
          <w:kern w:val="44"/>
          <w:sz w:val="44"/>
          <w:szCs w:val="44"/>
          <w:lang w:val="en-US" w:eastAsia="zh-CN" w:bidi="ar-SA"/>
        </w:rPr>
        <w:t>第一篇 项目技术/服务要求</w:t>
      </w:r>
      <w:bookmarkEnd w:id="0"/>
      <w:bookmarkEnd w:id="1"/>
    </w:p>
    <w:p>
      <w:pPr>
        <w:pStyle w:val="4"/>
      </w:pPr>
      <w:r>
        <w:rPr>
          <w:rFonts w:hint="eastAsia"/>
        </w:rPr>
        <w:t>一、采购项目一览表</w:t>
      </w:r>
      <w:bookmarkEnd w:id="2"/>
    </w:p>
    <w:tbl>
      <w:tblPr>
        <w:tblStyle w:val="1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3772"/>
        <w:gridCol w:w="170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仿宋"/>
                <w:b/>
                <w:bCs/>
                <w:sz w:val="24"/>
                <w:szCs w:val="24"/>
              </w:rPr>
            </w:pPr>
            <w:r>
              <w:rPr>
                <w:rFonts w:hint="eastAsia" w:hAnsi="宋体" w:cs="仿宋"/>
                <w:b/>
                <w:bCs/>
                <w:sz w:val="24"/>
                <w:szCs w:val="24"/>
              </w:rPr>
              <w:t>序号</w:t>
            </w:r>
          </w:p>
        </w:tc>
        <w:tc>
          <w:tcPr>
            <w:tcW w:w="3772"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仿宋"/>
                <w:b/>
                <w:bCs/>
                <w:sz w:val="24"/>
                <w:szCs w:val="24"/>
              </w:rPr>
            </w:pPr>
            <w:r>
              <w:rPr>
                <w:rFonts w:hint="eastAsia" w:hAnsi="宋体" w:cs="仿宋"/>
                <w:b/>
                <w:bCs/>
                <w:sz w:val="24"/>
                <w:szCs w:val="24"/>
              </w:rPr>
              <w:t>产品名称（设备名称）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仿宋"/>
                <w:b/>
                <w:bCs/>
                <w:sz w:val="24"/>
                <w:szCs w:val="24"/>
              </w:rPr>
            </w:pPr>
            <w:r>
              <w:rPr>
                <w:rFonts w:hint="eastAsia" w:hAnsi="宋体" w:cs="仿宋"/>
                <w:b/>
                <w:bCs/>
                <w:sz w:val="24"/>
                <w:szCs w:val="24"/>
              </w:rPr>
              <w:t>数量/单位</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仿宋"/>
                <w:b/>
                <w:bCs/>
                <w:sz w:val="24"/>
                <w:szCs w:val="24"/>
              </w:rPr>
            </w:pPr>
            <w:r>
              <w:rPr>
                <w:rFonts w:hint="eastAsia" w:hAnsi="宋体"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仿宋"/>
                <w:b/>
                <w:bCs/>
                <w:sz w:val="24"/>
                <w:szCs w:val="24"/>
              </w:rPr>
            </w:pPr>
            <w:r>
              <w:rPr>
                <w:rFonts w:hint="eastAsia" w:hAnsi="宋体" w:cs="仿宋"/>
                <w:b/>
                <w:bCs/>
                <w:sz w:val="24"/>
                <w:szCs w:val="24"/>
              </w:rPr>
              <w:t>1</w:t>
            </w:r>
          </w:p>
        </w:tc>
        <w:tc>
          <w:tcPr>
            <w:tcW w:w="3772"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仿宋"/>
                <w:b/>
                <w:bCs/>
                <w:sz w:val="24"/>
                <w:szCs w:val="24"/>
              </w:rPr>
            </w:pPr>
            <w:r>
              <w:rPr>
                <w:rFonts w:hint="eastAsia" w:hAnsi="宋体"/>
                <w:b/>
                <w:bCs/>
                <w:sz w:val="24"/>
                <w:szCs w:val="24"/>
              </w:rPr>
              <w:t>数字高清监控系统</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仿宋"/>
                <w:b/>
                <w:bCs/>
                <w:sz w:val="24"/>
                <w:szCs w:val="24"/>
              </w:rPr>
            </w:pPr>
            <w:r>
              <w:rPr>
                <w:rFonts w:hint="eastAsia" w:hAnsi="宋体"/>
                <w:b/>
                <w:bCs/>
                <w:sz w:val="24"/>
                <w:szCs w:val="24"/>
              </w:rPr>
              <w:t>40/套</w:t>
            </w:r>
          </w:p>
        </w:tc>
        <w:tc>
          <w:tcPr>
            <w:tcW w:w="2835" w:type="dxa"/>
            <w:vMerge w:val="restart"/>
            <w:tcBorders>
              <w:top w:val="single" w:color="auto" w:sz="4" w:space="0"/>
              <w:left w:val="nil"/>
              <w:right w:val="single" w:color="auto" w:sz="4" w:space="0"/>
            </w:tcBorders>
            <w:vAlign w:val="center"/>
          </w:tcPr>
          <w:p>
            <w:pPr>
              <w:jc w:val="center"/>
              <w:rPr>
                <w:rFonts w:hint="eastAsia" w:hAnsi="宋体"/>
                <w:b/>
                <w:bCs/>
                <w:sz w:val="24"/>
                <w:szCs w:val="24"/>
              </w:rPr>
            </w:pPr>
            <w:r>
              <w:rPr>
                <w:rFonts w:hint="eastAsia" w:hAnsi="宋体"/>
                <w:b/>
                <w:bCs/>
                <w:sz w:val="24"/>
                <w:szCs w:val="24"/>
              </w:rPr>
              <w:t>统一平台管理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仿宋"/>
                <w:b/>
                <w:bCs/>
                <w:sz w:val="24"/>
                <w:szCs w:val="24"/>
              </w:rPr>
            </w:pPr>
            <w:r>
              <w:rPr>
                <w:rFonts w:hint="eastAsia" w:hAnsi="宋体" w:cs="仿宋"/>
                <w:b/>
                <w:bCs/>
                <w:sz w:val="24"/>
                <w:szCs w:val="24"/>
              </w:rPr>
              <w:t>2</w:t>
            </w:r>
          </w:p>
        </w:tc>
        <w:tc>
          <w:tcPr>
            <w:tcW w:w="3772"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b/>
                <w:bCs/>
                <w:sz w:val="24"/>
                <w:szCs w:val="24"/>
              </w:rPr>
            </w:pPr>
            <w:r>
              <w:rPr>
                <w:rFonts w:hint="eastAsia" w:hAnsi="宋体"/>
                <w:b/>
                <w:bCs/>
                <w:sz w:val="24"/>
                <w:szCs w:val="24"/>
              </w:rPr>
              <w:t>人脸识别门禁系统</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b/>
                <w:bCs/>
                <w:sz w:val="24"/>
                <w:szCs w:val="24"/>
              </w:rPr>
            </w:pPr>
            <w:r>
              <w:rPr>
                <w:rFonts w:hint="eastAsia" w:hAnsi="宋体"/>
                <w:b/>
                <w:bCs/>
                <w:sz w:val="24"/>
                <w:szCs w:val="24"/>
              </w:rPr>
              <w:t>18/套</w:t>
            </w:r>
          </w:p>
        </w:tc>
        <w:tc>
          <w:tcPr>
            <w:tcW w:w="2835" w:type="dxa"/>
            <w:vMerge w:val="continue"/>
            <w:tcBorders>
              <w:left w:val="nil"/>
              <w:right w:val="single" w:color="auto" w:sz="4" w:space="0"/>
            </w:tcBorders>
            <w:vAlign w:val="center"/>
          </w:tcPr>
          <w:p>
            <w:pPr>
              <w:jc w:val="center"/>
              <w:rPr>
                <w:rFonts w:hint="eastAsia"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仿宋"/>
                <w:b/>
                <w:bCs/>
                <w:sz w:val="24"/>
                <w:szCs w:val="24"/>
              </w:rPr>
            </w:pPr>
            <w:r>
              <w:rPr>
                <w:rFonts w:hint="eastAsia" w:hAnsi="宋体" w:cs="仿宋"/>
                <w:b/>
                <w:bCs/>
                <w:sz w:val="24"/>
                <w:szCs w:val="24"/>
              </w:rPr>
              <w:t>3</w:t>
            </w:r>
          </w:p>
        </w:tc>
        <w:tc>
          <w:tcPr>
            <w:tcW w:w="3772"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b/>
                <w:bCs/>
                <w:sz w:val="24"/>
                <w:szCs w:val="24"/>
              </w:rPr>
            </w:pPr>
            <w:r>
              <w:rPr>
                <w:rFonts w:hint="eastAsia" w:hAnsi="宋体"/>
                <w:b/>
                <w:bCs/>
                <w:sz w:val="24"/>
                <w:szCs w:val="24"/>
              </w:rPr>
              <w:t>温度监测预警系统</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b/>
                <w:bCs/>
                <w:sz w:val="24"/>
                <w:szCs w:val="24"/>
              </w:rPr>
            </w:pPr>
            <w:r>
              <w:rPr>
                <w:rFonts w:hint="eastAsia" w:hAnsi="宋体"/>
                <w:b/>
                <w:bCs/>
                <w:sz w:val="24"/>
                <w:szCs w:val="24"/>
              </w:rPr>
              <w:t>10/套</w:t>
            </w:r>
          </w:p>
        </w:tc>
        <w:tc>
          <w:tcPr>
            <w:tcW w:w="2835" w:type="dxa"/>
            <w:vMerge w:val="continue"/>
            <w:tcBorders>
              <w:left w:val="nil"/>
              <w:right w:val="single" w:color="auto" w:sz="4" w:space="0"/>
            </w:tcBorders>
            <w:vAlign w:val="center"/>
          </w:tcPr>
          <w:p>
            <w:pPr>
              <w:jc w:val="center"/>
              <w:rPr>
                <w:rFonts w:hint="eastAsia" w:hAnsi="宋体"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仿宋"/>
                <w:b/>
                <w:bCs/>
                <w:sz w:val="24"/>
                <w:szCs w:val="24"/>
              </w:rPr>
            </w:pPr>
            <w:r>
              <w:rPr>
                <w:rFonts w:hint="eastAsia" w:hAnsi="宋体" w:cs="仿宋"/>
                <w:b/>
                <w:bCs/>
                <w:sz w:val="24"/>
                <w:szCs w:val="24"/>
              </w:rPr>
              <w:t>4</w:t>
            </w:r>
          </w:p>
        </w:tc>
        <w:tc>
          <w:tcPr>
            <w:tcW w:w="3772"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b/>
                <w:bCs/>
                <w:sz w:val="24"/>
                <w:szCs w:val="24"/>
              </w:rPr>
            </w:pPr>
            <w:r>
              <w:rPr>
                <w:rFonts w:hint="eastAsia" w:hAnsi="宋体"/>
                <w:b/>
                <w:bCs/>
                <w:sz w:val="24"/>
                <w:szCs w:val="24"/>
              </w:rPr>
              <w:t>安装服务</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b/>
                <w:bCs/>
                <w:sz w:val="24"/>
                <w:szCs w:val="24"/>
              </w:rPr>
            </w:pPr>
            <w:r>
              <w:rPr>
                <w:rFonts w:hint="eastAsia" w:hAnsi="宋体"/>
                <w:b/>
                <w:bCs/>
                <w:sz w:val="24"/>
                <w:szCs w:val="24"/>
              </w:rPr>
              <w:t>1/项</w:t>
            </w:r>
          </w:p>
        </w:tc>
        <w:tc>
          <w:tcPr>
            <w:tcW w:w="2835" w:type="dxa"/>
            <w:tcBorders>
              <w:left w:val="nil"/>
              <w:right w:val="single" w:color="auto" w:sz="4" w:space="0"/>
            </w:tcBorders>
            <w:vAlign w:val="center"/>
          </w:tcPr>
          <w:p>
            <w:pPr>
              <w:jc w:val="center"/>
              <w:rPr>
                <w:rFonts w:hint="eastAsia" w:hAnsi="宋体" w:cs="仿宋"/>
                <w:b/>
                <w:bCs/>
                <w:sz w:val="24"/>
                <w:szCs w:val="24"/>
              </w:rPr>
            </w:pPr>
            <w:r>
              <w:rPr>
                <w:rFonts w:hint="eastAsia" w:hAnsi="宋体" w:cs="仿宋"/>
                <w:b/>
                <w:bCs/>
                <w:sz w:val="24"/>
                <w:szCs w:val="24"/>
              </w:rPr>
              <w:t>上述3套系统的安装</w:t>
            </w:r>
          </w:p>
        </w:tc>
      </w:tr>
    </w:tbl>
    <w:p/>
    <w:p>
      <w:pPr>
        <w:pStyle w:val="4"/>
      </w:pPr>
      <w:bookmarkStart w:id="3" w:name="_Toc98942881"/>
      <w:r>
        <w:rPr>
          <w:rFonts w:hint="eastAsia"/>
        </w:rPr>
        <w:t>二、采购项目技术/服务要求</w:t>
      </w:r>
      <w:bookmarkEnd w:id="3"/>
    </w:p>
    <w:p>
      <w:pPr>
        <w:spacing w:line="360" w:lineRule="auto"/>
        <w:ind w:firstLine="480"/>
        <w:rPr>
          <w:rFonts w:hAnsi="宋体" w:cs="宋体"/>
          <w:sz w:val="24"/>
          <w:szCs w:val="24"/>
        </w:rPr>
      </w:pPr>
      <w:r>
        <w:rPr>
          <w:rFonts w:hint="eastAsia" w:hAnsi="宋体" w:cs="宋体"/>
          <w:sz w:val="24"/>
          <w:szCs w:val="24"/>
        </w:rPr>
        <w:t>因本项目涉及装修、温度检测区域多，要求复杂，建议参与本项目的投标人到现场踏勘后根据现场的实际情况出具设计图与装修、设备报价方案。</w:t>
      </w:r>
    </w:p>
    <w:p>
      <w:pPr>
        <w:spacing w:line="360" w:lineRule="auto"/>
        <w:ind w:firstLine="480"/>
        <w:rPr>
          <w:rFonts w:hint="eastAsia" w:hAnsi="宋体" w:cs="宋体"/>
          <w:sz w:val="24"/>
          <w:szCs w:val="24"/>
        </w:rPr>
      </w:pPr>
      <w:r>
        <w:rPr>
          <w:rFonts w:hint="eastAsia" w:hAnsi="宋体" w:cs="宋体"/>
          <w:sz w:val="24"/>
          <w:szCs w:val="24"/>
        </w:rPr>
        <w:t>踏勘地点：渝中区医学院路1号重庆医科大学（袁家岗校区）尚医楼3楼</w:t>
      </w:r>
    </w:p>
    <w:p>
      <w:pPr>
        <w:spacing w:line="360" w:lineRule="auto"/>
        <w:ind w:firstLine="480"/>
        <w:rPr>
          <w:rFonts w:ascii="Arial" w:hAnsi="Arial"/>
          <w:b/>
          <w:bCs/>
          <w:kern w:val="2"/>
          <w:sz w:val="28"/>
          <w:szCs w:val="32"/>
        </w:rPr>
      </w:pPr>
      <w:r>
        <w:rPr>
          <w:rFonts w:hint="eastAsia" w:hAnsi="宋体" w:cs="宋体"/>
          <w:sz w:val="24"/>
          <w:szCs w:val="24"/>
        </w:rPr>
        <w:t>踏勘联系人及联系电话：李</w:t>
      </w:r>
      <w:r>
        <w:rPr>
          <w:rFonts w:hint="eastAsia" w:hAnsi="宋体" w:cs="宋体"/>
          <w:sz w:val="24"/>
          <w:szCs w:val="24"/>
          <w:lang w:eastAsia="zh-CN"/>
        </w:rPr>
        <w:t>老师</w:t>
      </w:r>
      <w:r>
        <w:rPr>
          <w:rFonts w:hint="eastAsia" w:hAnsi="宋体" w:cs="宋体"/>
          <w:sz w:val="24"/>
          <w:szCs w:val="24"/>
        </w:rPr>
        <w:t xml:space="preserve"> 023-88132866</w:t>
      </w:r>
    </w:p>
    <w:p>
      <w:pPr>
        <w:rPr>
          <w:rFonts w:ascii="Arial" w:hAnsi="Arial"/>
          <w:b/>
          <w:bCs/>
          <w:kern w:val="2"/>
          <w:sz w:val="28"/>
          <w:szCs w:val="32"/>
        </w:rPr>
      </w:pPr>
      <w:r>
        <w:rPr>
          <w:rFonts w:hint="eastAsia" w:ascii="Arial" w:hAnsi="Arial"/>
          <w:b/>
          <w:bCs/>
          <w:kern w:val="2"/>
          <w:sz w:val="28"/>
          <w:szCs w:val="32"/>
        </w:rPr>
        <w:t>技术/服务要求</w:t>
      </w:r>
    </w:p>
    <w:p>
      <w:pPr>
        <w:pStyle w:val="2"/>
        <w:rPr>
          <w:b/>
          <w:bCs/>
          <w:sz w:val="28"/>
          <w:szCs w:val="28"/>
        </w:rPr>
      </w:pPr>
    </w:p>
    <w:p>
      <w:pPr>
        <w:rPr>
          <w:rFonts w:hint="eastAsia" w:hAnsi="宋体"/>
          <w:b/>
          <w:sz w:val="24"/>
          <w:szCs w:val="24"/>
        </w:rPr>
      </w:pPr>
      <w:bookmarkStart w:id="4" w:name="_Toc98942882"/>
      <w:bookmarkStart w:id="5" w:name="_Toc19113858"/>
      <w:bookmarkStart w:id="6" w:name="_Toc267320049"/>
      <w:r>
        <w:rPr>
          <w:rFonts w:hint="eastAsia" w:hAnsi="宋体"/>
          <w:b/>
          <w:sz w:val="24"/>
          <w:szCs w:val="24"/>
        </w:rPr>
        <w:t>1、数字高清监控系统</w:t>
      </w:r>
    </w:p>
    <w:tbl>
      <w:tblPr>
        <w:tblStyle w:val="12"/>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18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63" w:type="dxa"/>
            <w:vAlign w:val="center"/>
          </w:tcPr>
          <w:p>
            <w:pPr>
              <w:ind w:left="56"/>
              <w:jc w:val="center"/>
              <w:rPr>
                <w:rFonts w:hint="eastAsia" w:hAnsi="宋体" w:cs="宋体"/>
                <w:sz w:val="24"/>
                <w:szCs w:val="24"/>
              </w:rPr>
            </w:pPr>
            <w:r>
              <w:rPr>
                <w:rFonts w:hint="eastAsia" w:hAnsi="宋体" w:cs="宋体"/>
                <w:sz w:val="24"/>
                <w:szCs w:val="24"/>
              </w:rPr>
              <w:t>产品名称</w:t>
            </w:r>
          </w:p>
        </w:tc>
        <w:tc>
          <w:tcPr>
            <w:tcW w:w="1189" w:type="dxa"/>
            <w:vAlign w:val="center"/>
          </w:tcPr>
          <w:p>
            <w:pPr>
              <w:ind w:left="56"/>
              <w:jc w:val="center"/>
              <w:rPr>
                <w:rFonts w:hint="eastAsia" w:hAnsi="宋体" w:cs="宋体"/>
                <w:sz w:val="24"/>
                <w:szCs w:val="24"/>
              </w:rPr>
            </w:pPr>
            <w:r>
              <w:rPr>
                <w:rFonts w:hint="eastAsia" w:hAnsi="宋体" w:cs="宋体"/>
                <w:sz w:val="24"/>
                <w:szCs w:val="24"/>
              </w:rPr>
              <w:t>数量</w:t>
            </w:r>
          </w:p>
        </w:tc>
        <w:tc>
          <w:tcPr>
            <w:tcW w:w="7371" w:type="dxa"/>
            <w:vAlign w:val="center"/>
          </w:tcPr>
          <w:p>
            <w:pPr>
              <w:ind w:left="56"/>
              <w:jc w:val="center"/>
              <w:rPr>
                <w:rFonts w:hint="eastAsia" w:hAnsi="宋体" w:cs="宋体"/>
                <w:sz w:val="24"/>
                <w:szCs w:val="24"/>
              </w:rPr>
            </w:pPr>
            <w:r>
              <w:rPr>
                <w:rFonts w:hint="eastAsia" w:hAnsi="宋体" w:cs="宋体"/>
                <w:sz w:val="24"/>
                <w:szCs w:val="24"/>
              </w:rPr>
              <w:t>功能及参数要求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363" w:type="dxa"/>
            <w:vAlign w:val="center"/>
          </w:tcPr>
          <w:p>
            <w:pPr>
              <w:jc w:val="center"/>
              <w:rPr>
                <w:rFonts w:hint="eastAsia" w:hAnsi="宋体"/>
                <w:sz w:val="24"/>
                <w:szCs w:val="24"/>
              </w:rPr>
            </w:pPr>
            <w:r>
              <w:rPr>
                <w:rFonts w:hint="eastAsia" w:hAnsi="宋体"/>
                <w:sz w:val="24"/>
                <w:szCs w:val="24"/>
              </w:rPr>
              <w:t>数字高清监控系统</w:t>
            </w:r>
          </w:p>
        </w:tc>
        <w:tc>
          <w:tcPr>
            <w:tcW w:w="1189" w:type="dxa"/>
            <w:vAlign w:val="center"/>
          </w:tcPr>
          <w:p>
            <w:pPr>
              <w:ind w:left="56"/>
              <w:jc w:val="center"/>
              <w:rPr>
                <w:rFonts w:hint="eastAsia" w:hAnsi="宋体" w:cs="宋体"/>
                <w:b/>
                <w:sz w:val="24"/>
                <w:szCs w:val="24"/>
              </w:rPr>
            </w:pPr>
            <w:r>
              <w:rPr>
                <w:rFonts w:hint="eastAsia" w:hAnsi="宋体" w:cs="宋体"/>
                <w:b/>
                <w:sz w:val="24"/>
                <w:szCs w:val="24"/>
              </w:rPr>
              <w:t>40套</w:t>
            </w:r>
          </w:p>
        </w:tc>
        <w:tc>
          <w:tcPr>
            <w:tcW w:w="7371" w:type="dxa"/>
            <w:vAlign w:val="center"/>
          </w:tcPr>
          <w:p>
            <w:pPr>
              <w:rPr>
                <w:rFonts w:hint="eastAsia" w:hAnsi="宋体" w:cs="宋体"/>
                <w:sz w:val="24"/>
                <w:szCs w:val="24"/>
              </w:rPr>
            </w:pPr>
            <w:r>
              <w:rPr>
                <w:rFonts w:hint="eastAsia" w:hAnsi="宋体" w:cs="宋体"/>
                <w:sz w:val="24"/>
                <w:szCs w:val="24"/>
              </w:rPr>
              <w:t>1、摄像机最高分辨率至少2560×1440 @20 fps，焦距2.8mm或4mm；(提供相关证明材料并加盖鲜章)</w:t>
            </w:r>
          </w:p>
          <w:p>
            <w:pPr>
              <w:rPr>
                <w:rFonts w:hint="eastAsia" w:hAnsi="宋体" w:cs="宋体"/>
                <w:sz w:val="24"/>
                <w:szCs w:val="24"/>
              </w:rPr>
            </w:pPr>
            <w:r>
              <w:rPr>
                <w:rFonts w:hint="eastAsia" w:hAnsi="宋体" w:cs="宋体"/>
                <w:sz w:val="24"/>
                <w:szCs w:val="24"/>
              </w:rPr>
              <w:t>2、支持越界侦测，区域入侵侦测，支持背光补偿，强光抑制，3D数字降噪，120 dB宽动态，适应不同环境，采用高效阵列红外灯，使用寿命长，红外照射距离最远可达不小于30 m，支持≥1个RJ45 10 M/100 M自适应以太网口，≥1个内置麦克风，符合IP66防尘防水设计，可靠性高；(提供相关证明材料并加盖鲜章)</w:t>
            </w:r>
          </w:p>
          <w:p>
            <w:pPr>
              <w:rPr>
                <w:rFonts w:hint="eastAsia" w:hAnsi="宋体" w:cs="宋体"/>
                <w:sz w:val="24"/>
                <w:szCs w:val="24"/>
              </w:rPr>
            </w:pPr>
            <w:r>
              <w:rPr>
                <w:rFonts w:hint="eastAsia" w:hAnsi="宋体" w:cs="宋体"/>
                <w:sz w:val="24"/>
                <w:szCs w:val="24"/>
              </w:rPr>
              <w:t>3、可接驳符合ONVIF、RTSP标准的众多主流厂商网络摄像机；支持接入H.265、Smart265、H.264、Smart264视频编码码流，解码性能强劲；(提供相关证明材料并加盖鲜章)</w:t>
            </w:r>
          </w:p>
          <w:p>
            <w:pPr>
              <w:rPr>
                <w:rFonts w:hint="eastAsia" w:hAnsi="宋体" w:cs="宋体"/>
                <w:sz w:val="24"/>
                <w:szCs w:val="24"/>
              </w:rPr>
            </w:pPr>
            <w:r>
              <w:rPr>
                <w:rFonts w:hint="eastAsia" w:hAnsi="宋体" w:cs="宋体"/>
                <w:sz w:val="24"/>
                <w:szCs w:val="24"/>
              </w:rPr>
              <w:t>4、至少支持48路1080P解码；至少支持800万像素高清网络视频的预览、存储与回放；持HDMI与VGA同/异源输出，HDMI最大支持4K超高清显示输出，VGA支持1080P高清显示输出；(提供相关证明材料并加盖鲜章)</w:t>
            </w:r>
          </w:p>
          <w:p>
            <w:pPr>
              <w:rPr>
                <w:rFonts w:hint="eastAsia" w:hAnsi="宋体" w:cs="宋体"/>
                <w:sz w:val="24"/>
                <w:szCs w:val="24"/>
              </w:rPr>
            </w:pPr>
            <w:r>
              <w:rPr>
                <w:rFonts w:hint="eastAsia" w:hAnsi="宋体" w:cs="宋体"/>
                <w:sz w:val="24"/>
                <w:szCs w:val="24"/>
              </w:rPr>
              <w:t>5、配备支持监控视频至少90天录像存留；(提供相关证明材料并加盖鲜章)</w:t>
            </w:r>
          </w:p>
          <w:p>
            <w:pPr>
              <w:rPr>
                <w:rFonts w:hint="eastAsia" w:hAnsi="宋体" w:cs="宋体"/>
                <w:sz w:val="24"/>
                <w:szCs w:val="24"/>
              </w:rPr>
            </w:pPr>
            <w:r>
              <w:rPr>
                <w:rFonts w:hint="eastAsia" w:hAnsi="宋体" w:cs="宋体"/>
                <w:sz w:val="24"/>
                <w:szCs w:val="24"/>
              </w:rPr>
              <w:t>6、自带≥10个SATA接口，最大支持单个10T硬盘；支持IP设备集中管理，包括IP设备一键添加、参数配置、批量升级、导入/导出等；针对人、车及事件类型，支持快速回放与检索功能，大幅提升录像回放和检索效率；(提供相关证明材料并加盖鲜章)</w:t>
            </w:r>
          </w:p>
          <w:p>
            <w:pPr>
              <w:rPr>
                <w:rFonts w:hint="eastAsia" w:hAnsi="宋体" w:cs="宋体"/>
                <w:sz w:val="24"/>
                <w:szCs w:val="24"/>
              </w:rPr>
            </w:pPr>
            <w:r>
              <w:rPr>
                <w:rFonts w:hint="eastAsia" w:hAnsi="宋体" w:cs="宋体"/>
                <w:sz w:val="24"/>
                <w:szCs w:val="24"/>
              </w:rPr>
              <w:t>7、预留网络接口，如有需要可升级手机端管理，支持APP实现手机远程预览/回放/配置（互联网条件使用方自备）；支持ISUP以及GB28181协议，轻松实现平台接入；(提供相关证明材料并加盖鲜章)</w:t>
            </w:r>
          </w:p>
          <w:p>
            <w:pPr>
              <w:rPr>
                <w:rFonts w:hint="eastAsia" w:hAnsi="宋体" w:cs="宋体"/>
                <w:sz w:val="24"/>
                <w:szCs w:val="24"/>
              </w:rPr>
            </w:pPr>
            <w:r>
              <w:rPr>
                <w:rFonts w:hint="eastAsia" w:hAnsi="宋体" w:cs="宋体"/>
                <w:sz w:val="24"/>
                <w:szCs w:val="24"/>
              </w:rPr>
              <w:t>8、配置4K液晶监视器尺寸不低于43寸。(提供相关证明材料并加盖鲜章)</w:t>
            </w:r>
          </w:p>
          <w:p>
            <w:pPr>
              <w:rPr>
                <w:rFonts w:hint="eastAsia" w:hAnsi="宋体" w:cs="宋体"/>
                <w:sz w:val="24"/>
                <w:szCs w:val="24"/>
              </w:rPr>
            </w:pPr>
            <w:r>
              <w:rPr>
                <w:rFonts w:hint="eastAsia" w:hAnsi="宋体" w:cs="宋体"/>
                <w:sz w:val="24"/>
                <w:szCs w:val="24"/>
              </w:rPr>
              <w:t>9、千兆无管理POE交换机,包转发率≥38.69Mpps,交换容量≥52Gbps, ≥48个千兆电口,MAC:8K,1U标准机架款,金属外壳,支持POE+,输出功率370W,挂耳默认自带。(提供相关证明材料并加盖鲜章)</w:t>
            </w:r>
          </w:p>
          <w:p>
            <w:pPr>
              <w:rPr>
                <w:rFonts w:hint="eastAsia" w:hAnsi="宋体" w:cs="宋体"/>
                <w:sz w:val="24"/>
                <w:szCs w:val="24"/>
              </w:rPr>
            </w:pPr>
            <w:r>
              <w:rPr>
                <w:rFonts w:hint="eastAsia" w:hAnsi="宋体" w:cs="宋体"/>
                <w:sz w:val="24"/>
                <w:szCs w:val="24"/>
              </w:rPr>
              <w:t>10、容量至少为80TB，专为主流监控系统而设计，AllFrame技术针对主流监控应用中典型的写入密集型、低比特率、高流数工作负载进行了优化，支持高达180 TB/年的工作负载率。(提供相关证明材料并加盖鲜章)</w:t>
            </w:r>
          </w:p>
          <w:p>
            <w:pPr>
              <w:rPr>
                <w:rFonts w:hint="eastAsia" w:hAnsi="宋体" w:cs="宋体"/>
                <w:sz w:val="24"/>
                <w:szCs w:val="24"/>
              </w:rPr>
            </w:pPr>
            <w:r>
              <w:rPr>
                <w:rFonts w:hint="eastAsia" w:hAnsi="宋体"/>
                <w:sz w:val="24"/>
                <w:szCs w:val="24"/>
              </w:rPr>
              <w:t>11、</w:t>
            </w:r>
            <w:r>
              <w:rPr>
                <w:rFonts w:hint="eastAsia" w:hAnsi="宋体" w:cs="宋体"/>
                <w:sz w:val="24"/>
                <w:szCs w:val="24"/>
              </w:rPr>
              <w:t>投标产品为海康、大华、宇视或同等类以上品牌</w:t>
            </w:r>
          </w:p>
          <w:p>
            <w:pPr>
              <w:rPr>
                <w:rFonts w:hint="eastAsia" w:hAnsi="宋体" w:cs="宋体"/>
                <w:szCs w:val="28"/>
              </w:rPr>
            </w:pPr>
            <w:r>
              <w:rPr>
                <w:rFonts w:hint="eastAsia" w:hAnsi="宋体" w:cs="宋体"/>
                <w:sz w:val="24"/>
                <w:szCs w:val="24"/>
              </w:rPr>
              <w:t>12、项目要求：监控系统和门禁系统、温度监测系统、人员信息等其他子系统为统一软件平台集中管理。</w:t>
            </w:r>
          </w:p>
        </w:tc>
      </w:tr>
    </w:tbl>
    <w:p>
      <w:pPr>
        <w:rPr>
          <w:rFonts w:hint="eastAsia" w:hAnsi="宋体"/>
        </w:rPr>
      </w:pPr>
    </w:p>
    <w:p>
      <w:pPr>
        <w:pStyle w:val="2"/>
        <w:jc w:val="left"/>
      </w:pPr>
    </w:p>
    <w:p>
      <w:pPr>
        <w:rPr>
          <w:rFonts w:hint="eastAsia" w:hAnsi="宋体"/>
          <w:b/>
          <w:sz w:val="24"/>
          <w:szCs w:val="24"/>
        </w:rPr>
      </w:pPr>
      <w:r>
        <w:rPr>
          <w:rFonts w:hint="eastAsia" w:hAnsi="宋体"/>
          <w:b/>
          <w:sz w:val="24"/>
          <w:szCs w:val="24"/>
        </w:rPr>
        <w:t>2、人脸识别门禁系统</w:t>
      </w:r>
    </w:p>
    <w:tbl>
      <w:tblPr>
        <w:tblStyle w:val="12"/>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1200"/>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52" w:type="dxa"/>
            <w:vAlign w:val="center"/>
          </w:tcPr>
          <w:p>
            <w:pPr>
              <w:ind w:left="56"/>
              <w:jc w:val="center"/>
              <w:rPr>
                <w:rFonts w:hint="eastAsia" w:hAnsi="宋体" w:cs="宋体"/>
                <w:sz w:val="24"/>
                <w:szCs w:val="24"/>
              </w:rPr>
            </w:pPr>
            <w:r>
              <w:rPr>
                <w:rFonts w:hint="eastAsia" w:hAnsi="宋体" w:cs="宋体"/>
                <w:sz w:val="24"/>
                <w:szCs w:val="24"/>
              </w:rPr>
              <w:t>产品名称</w:t>
            </w:r>
          </w:p>
        </w:tc>
        <w:tc>
          <w:tcPr>
            <w:tcW w:w="1200" w:type="dxa"/>
            <w:vAlign w:val="center"/>
          </w:tcPr>
          <w:p>
            <w:pPr>
              <w:ind w:left="56"/>
              <w:jc w:val="center"/>
              <w:rPr>
                <w:rFonts w:hint="eastAsia" w:hAnsi="宋体" w:cs="宋体"/>
                <w:sz w:val="24"/>
                <w:szCs w:val="24"/>
              </w:rPr>
            </w:pPr>
            <w:r>
              <w:rPr>
                <w:rFonts w:hint="eastAsia" w:hAnsi="宋体" w:cs="宋体"/>
                <w:sz w:val="24"/>
                <w:szCs w:val="24"/>
              </w:rPr>
              <w:t>数量</w:t>
            </w:r>
          </w:p>
        </w:tc>
        <w:tc>
          <w:tcPr>
            <w:tcW w:w="7371" w:type="dxa"/>
            <w:vAlign w:val="center"/>
          </w:tcPr>
          <w:p>
            <w:pPr>
              <w:ind w:left="56"/>
              <w:jc w:val="center"/>
              <w:rPr>
                <w:rFonts w:hint="eastAsia" w:hAnsi="宋体" w:cs="宋体"/>
                <w:sz w:val="24"/>
                <w:szCs w:val="24"/>
              </w:rPr>
            </w:pPr>
            <w:r>
              <w:rPr>
                <w:rFonts w:hint="eastAsia" w:hAnsi="宋体" w:cs="宋体"/>
                <w:sz w:val="24"/>
                <w:szCs w:val="24"/>
              </w:rPr>
              <w:t>功能及参数要求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52" w:type="dxa"/>
            <w:vAlign w:val="center"/>
          </w:tcPr>
          <w:p>
            <w:pPr>
              <w:jc w:val="center"/>
              <w:rPr>
                <w:rFonts w:hint="eastAsia" w:hAnsi="宋体"/>
                <w:sz w:val="24"/>
                <w:szCs w:val="24"/>
              </w:rPr>
            </w:pPr>
            <w:r>
              <w:rPr>
                <w:rFonts w:hint="eastAsia" w:hAnsi="宋体"/>
                <w:sz w:val="24"/>
                <w:szCs w:val="24"/>
              </w:rPr>
              <w:t>人脸识别门禁系统</w:t>
            </w:r>
          </w:p>
        </w:tc>
        <w:tc>
          <w:tcPr>
            <w:tcW w:w="1200" w:type="dxa"/>
            <w:vAlign w:val="center"/>
          </w:tcPr>
          <w:p>
            <w:pPr>
              <w:ind w:left="56"/>
              <w:jc w:val="center"/>
              <w:rPr>
                <w:rFonts w:hint="eastAsia" w:hAnsi="宋体"/>
                <w:sz w:val="24"/>
                <w:szCs w:val="24"/>
              </w:rPr>
            </w:pPr>
            <w:r>
              <w:rPr>
                <w:rFonts w:hint="eastAsia" w:hAnsi="宋体"/>
                <w:b/>
                <w:sz w:val="24"/>
                <w:szCs w:val="24"/>
              </w:rPr>
              <w:t>18套</w:t>
            </w:r>
          </w:p>
        </w:tc>
        <w:tc>
          <w:tcPr>
            <w:tcW w:w="7371" w:type="dxa"/>
            <w:vAlign w:val="center"/>
          </w:tcPr>
          <w:p>
            <w:pPr>
              <w:ind w:left="240" w:hanging="240" w:hangingChars="100"/>
              <w:jc w:val="left"/>
              <w:rPr>
                <w:rFonts w:hint="eastAsia" w:hAnsi="宋体" w:cs="宋体"/>
                <w:sz w:val="24"/>
                <w:szCs w:val="24"/>
              </w:rPr>
            </w:pPr>
            <w:r>
              <w:rPr>
                <w:rFonts w:hint="eastAsia" w:hAnsi="宋体" w:cs="宋体"/>
                <w:sz w:val="24"/>
                <w:szCs w:val="24"/>
              </w:rPr>
              <w:t xml:space="preserve">1.开门方式为人脸识别，并应还至少具有以下1种开门方式：指纹、刷卡、密码、二维码，并均可导出开门记录报表；(提供相关证明材料并加盖鲜章) </w:t>
            </w:r>
          </w:p>
          <w:p>
            <w:pPr>
              <w:ind w:left="240" w:hanging="240" w:hangingChars="100"/>
              <w:jc w:val="left"/>
              <w:rPr>
                <w:rFonts w:hint="eastAsia" w:hAnsi="宋体" w:cs="宋体"/>
                <w:sz w:val="24"/>
                <w:szCs w:val="24"/>
              </w:rPr>
            </w:pPr>
            <w:r>
              <w:rPr>
                <w:rFonts w:hint="eastAsia" w:hAnsi="宋体" w:cs="宋体"/>
                <w:sz w:val="24"/>
                <w:szCs w:val="24"/>
              </w:rPr>
              <w:t>2、识别速度：小于1S,动态识别距离0.2-1.5米；(提供相关证明材料并加盖鲜章)</w:t>
            </w:r>
          </w:p>
          <w:p>
            <w:pPr>
              <w:ind w:left="240" w:hanging="240" w:hangingChars="100"/>
              <w:jc w:val="left"/>
              <w:rPr>
                <w:rFonts w:hint="eastAsia" w:hAnsi="宋体" w:cs="宋体"/>
                <w:sz w:val="24"/>
                <w:szCs w:val="24"/>
              </w:rPr>
            </w:pPr>
            <w:r>
              <w:rPr>
                <w:rFonts w:hint="eastAsia" w:hAnsi="宋体" w:cs="宋体"/>
                <w:sz w:val="24"/>
                <w:szCs w:val="24"/>
              </w:rPr>
              <w:t>3、联网方式：TCP/IP；(提供相关证明材料并加盖鲜章)</w:t>
            </w:r>
          </w:p>
          <w:p>
            <w:pPr>
              <w:ind w:left="240" w:hanging="240" w:hangingChars="100"/>
              <w:jc w:val="left"/>
              <w:rPr>
                <w:rFonts w:hint="eastAsia" w:hAnsi="宋体" w:cs="宋体"/>
                <w:sz w:val="24"/>
                <w:szCs w:val="24"/>
              </w:rPr>
            </w:pPr>
            <w:r>
              <w:rPr>
                <w:rFonts w:hint="eastAsia" w:hAnsi="宋体" w:cs="宋体"/>
                <w:sz w:val="24"/>
                <w:szCs w:val="24"/>
              </w:rPr>
              <w:t>4、可脱机存储打卡记录，每条记录包含卡号，时间，人员等信息；(提供相关证明材料并加盖鲜章)</w:t>
            </w:r>
          </w:p>
          <w:p>
            <w:pPr>
              <w:ind w:left="240" w:hanging="240" w:hangingChars="100"/>
              <w:jc w:val="left"/>
              <w:rPr>
                <w:rFonts w:hint="eastAsia" w:hAnsi="宋体" w:cs="宋体"/>
                <w:sz w:val="24"/>
                <w:szCs w:val="24"/>
              </w:rPr>
            </w:pPr>
            <w:r>
              <w:rPr>
                <w:rFonts w:hint="eastAsia" w:hAnsi="宋体" w:cs="宋体"/>
                <w:sz w:val="24"/>
                <w:szCs w:val="24"/>
              </w:rPr>
              <w:t>5、门禁使用人员入室和注册：在指定的web页面填写个人基本信息。学生注册系统时一定要绑定到导师名下，后续才能加入导师课题组，并关联使用门禁组权限。(提供相关证明材料并加盖鲜章)</w:t>
            </w:r>
          </w:p>
          <w:p>
            <w:pPr>
              <w:ind w:left="240" w:hanging="240" w:hangingChars="100"/>
              <w:jc w:val="left"/>
              <w:rPr>
                <w:rFonts w:hint="eastAsia" w:hAnsi="宋体" w:cs="宋体"/>
                <w:sz w:val="24"/>
                <w:szCs w:val="24"/>
              </w:rPr>
            </w:pPr>
            <w:r>
              <w:rPr>
                <w:rFonts w:hint="eastAsia" w:hAnsi="宋体" w:cs="宋体"/>
                <w:sz w:val="24"/>
                <w:szCs w:val="24"/>
              </w:rPr>
              <w:t>6、门禁使用人员入室申请和审批：登录web系统后提交"入室申请"，后台管理员通过审查后，正常入室，并等待管理员进行门禁权限组授权；(提供相关证明材料并加盖鲜章)</w:t>
            </w:r>
          </w:p>
          <w:p>
            <w:pPr>
              <w:ind w:left="240" w:hanging="240" w:hangingChars="100"/>
              <w:jc w:val="left"/>
              <w:rPr>
                <w:rFonts w:hint="eastAsia" w:hAnsi="宋体" w:cs="宋体"/>
                <w:sz w:val="24"/>
                <w:szCs w:val="24"/>
              </w:rPr>
            </w:pPr>
            <w:r>
              <w:rPr>
                <w:rFonts w:hint="eastAsia" w:hAnsi="宋体" w:cs="宋体"/>
                <w:sz w:val="24"/>
                <w:szCs w:val="24"/>
              </w:rPr>
              <w:t>7、人脸库容≥1000；脱机记录数≥10万条事件记录(提供相关证明材料并加盖鲜章)</w:t>
            </w:r>
          </w:p>
          <w:p>
            <w:pPr>
              <w:ind w:left="240" w:hanging="240" w:hangingChars="100"/>
              <w:jc w:val="left"/>
              <w:rPr>
                <w:rFonts w:hint="eastAsia" w:hAnsi="宋体" w:cs="宋体"/>
                <w:sz w:val="24"/>
                <w:szCs w:val="24"/>
              </w:rPr>
            </w:pPr>
            <w:r>
              <w:rPr>
                <w:rFonts w:hint="eastAsia" w:hAnsi="宋体" w:cs="宋体"/>
                <w:sz w:val="24"/>
                <w:szCs w:val="24"/>
              </w:rPr>
              <w:t>8、12V/5A，专用电源；(提供相关证明材料并加盖鲜章)</w:t>
            </w:r>
          </w:p>
          <w:p>
            <w:pPr>
              <w:ind w:left="240" w:hanging="240" w:hangingChars="100"/>
              <w:jc w:val="left"/>
              <w:rPr>
                <w:rFonts w:hint="eastAsia" w:hAnsi="宋体" w:cs="宋体"/>
                <w:sz w:val="24"/>
                <w:szCs w:val="24"/>
              </w:rPr>
            </w:pPr>
            <w:r>
              <w:rPr>
                <w:rFonts w:hint="eastAsia" w:hAnsi="宋体" w:cs="宋体"/>
                <w:sz w:val="24"/>
                <w:szCs w:val="24"/>
              </w:rPr>
              <w:t>9、投标产品为海康、大华、宇视或同等类以上品牌</w:t>
            </w:r>
          </w:p>
          <w:p>
            <w:pPr>
              <w:jc w:val="left"/>
              <w:rPr>
                <w:rFonts w:hint="eastAsia" w:hAnsi="宋体" w:cs="宋体"/>
                <w:sz w:val="24"/>
                <w:szCs w:val="24"/>
              </w:rPr>
            </w:pPr>
            <w:r>
              <w:rPr>
                <w:rFonts w:hint="eastAsia" w:hAnsi="宋体" w:cs="宋体"/>
                <w:sz w:val="24"/>
                <w:szCs w:val="24"/>
              </w:rPr>
              <w:t>10、项目要求：门禁系统和监控系统、温度监测系统、人员信息等其他子系统为统一软件平台集中管理。</w:t>
            </w:r>
          </w:p>
        </w:tc>
      </w:tr>
    </w:tbl>
    <w:p>
      <w:pPr>
        <w:rPr>
          <w:rFonts w:hint="eastAsia" w:hAnsi="宋体"/>
          <w:b/>
          <w:sz w:val="24"/>
          <w:szCs w:val="24"/>
        </w:rPr>
      </w:pPr>
    </w:p>
    <w:p>
      <w:pPr>
        <w:rPr>
          <w:rFonts w:hint="eastAsia" w:hAnsi="宋体"/>
          <w:b/>
          <w:sz w:val="24"/>
          <w:szCs w:val="24"/>
        </w:rPr>
      </w:pPr>
    </w:p>
    <w:p>
      <w:pPr>
        <w:rPr>
          <w:rFonts w:hint="eastAsia" w:hAnsi="宋体"/>
          <w:b/>
          <w:sz w:val="24"/>
          <w:szCs w:val="24"/>
        </w:rPr>
      </w:pPr>
      <w:r>
        <w:rPr>
          <w:rFonts w:hint="eastAsia" w:hAnsi="宋体"/>
          <w:b/>
          <w:sz w:val="24"/>
          <w:szCs w:val="24"/>
        </w:rPr>
        <w:t>3、温度监测预警系统</w:t>
      </w:r>
    </w:p>
    <w:tbl>
      <w:tblPr>
        <w:tblStyle w:val="12"/>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1200"/>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52" w:type="dxa"/>
            <w:vAlign w:val="center"/>
          </w:tcPr>
          <w:p>
            <w:pPr>
              <w:ind w:left="56"/>
              <w:jc w:val="center"/>
              <w:rPr>
                <w:rFonts w:hint="eastAsia" w:hAnsi="宋体" w:cs="宋体"/>
                <w:sz w:val="24"/>
                <w:szCs w:val="24"/>
              </w:rPr>
            </w:pPr>
            <w:r>
              <w:rPr>
                <w:rFonts w:hint="eastAsia" w:hAnsi="宋体" w:cs="宋体"/>
                <w:sz w:val="24"/>
                <w:szCs w:val="24"/>
              </w:rPr>
              <w:t>产品名称</w:t>
            </w:r>
          </w:p>
        </w:tc>
        <w:tc>
          <w:tcPr>
            <w:tcW w:w="1200" w:type="dxa"/>
            <w:vAlign w:val="center"/>
          </w:tcPr>
          <w:p>
            <w:pPr>
              <w:ind w:left="56"/>
              <w:jc w:val="center"/>
              <w:rPr>
                <w:rFonts w:hint="eastAsia" w:hAnsi="宋体" w:cs="宋体"/>
                <w:sz w:val="24"/>
                <w:szCs w:val="24"/>
              </w:rPr>
            </w:pPr>
            <w:r>
              <w:rPr>
                <w:rFonts w:hint="eastAsia" w:hAnsi="宋体" w:cs="宋体"/>
                <w:sz w:val="24"/>
                <w:szCs w:val="24"/>
              </w:rPr>
              <w:t>数量</w:t>
            </w:r>
          </w:p>
        </w:tc>
        <w:tc>
          <w:tcPr>
            <w:tcW w:w="7513" w:type="dxa"/>
            <w:vAlign w:val="center"/>
          </w:tcPr>
          <w:p>
            <w:pPr>
              <w:ind w:left="56"/>
              <w:jc w:val="center"/>
              <w:rPr>
                <w:rFonts w:hint="eastAsia" w:hAnsi="宋体" w:cs="宋体"/>
                <w:sz w:val="24"/>
                <w:szCs w:val="24"/>
              </w:rPr>
            </w:pPr>
            <w:r>
              <w:rPr>
                <w:rFonts w:hint="eastAsia" w:hAnsi="宋体" w:cs="宋体"/>
                <w:sz w:val="24"/>
                <w:szCs w:val="24"/>
              </w:rPr>
              <w:t>功能及参数要求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52" w:type="dxa"/>
            <w:vAlign w:val="center"/>
          </w:tcPr>
          <w:p>
            <w:pPr>
              <w:jc w:val="center"/>
              <w:rPr>
                <w:rFonts w:hint="eastAsia" w:hAnsi="宋体"/>
                <w:sz w:val="24"/>
                <w:szCs w:val="24"/>
              </w:rPr>
            </w:pPr>
            <w:r>
              <w:rPr>
                <w:rFonts w:hint="eastAsia" w:hAnsi="宋体"/>
                <w:sz w:val="24"/>
                <w:szCs w:val="24"/>
              </w:rPr>
              <w:t>温度监测预警系统</w:t>
            </w:r>
          </w:p>
        </w:tc>
        <w:tc>
          <w:tcPr>
            <w:tcW w:w="1200" w:type="dxa"/>
            <w:vAlign w:val="center"/>
          </w:tcPr>
          <w:p>
            <w:pPr>
              <w:ind w:left="56"/>
              <w:jc w:val="center"/>
              <w:rPr>
                <w:rFonts w:hint="eastAsia" w:hAnsi="宋体"/>
                <w:sz w:val="24"/>
                <w:szCs w:val="24"/>
              </w:rPr>
            </w:pPr>
            <w:r>
              <w:rPr>
                <w:rFonts w:hint="eastAsia" w:hAnsi="宋体"/>
                <w:b/>
                <w:sz w:val="24"/>
                <w:szCs w:val="24"/>
              </w:rPr>
              <w:t>10套</w:t>
            </w:r>
          </w:p>
        </w:tc>
        <w:tc>
          <w:tcPr>
            <w:tcW w:w="7513" w:type="dxa"/>
            <w:vAlign w:val="center"/>
          </w:tcPr>
          <w:p>
            <w:pPr>
              <w:jc w:val="left"/>
              <w:rPr>
                <w:rFonts w:hint="eastAsia" w:hAnsi="宋体" w:cs="宋体"/>
                <w:sz w:val="24"/>
                <w:szCs w:val="24"/>
              </w:rPr>
            </w:pPr>
            <w:r>
              <w:rPr>
                <w:rFonts w:hint="eastAsia" w:hAnsi="宋体" w:cs="宋体"/>
                <w:sz w:val="24"/>
                <w:szCs w:val="24"/>
              </w:rPr>
              <w:t>1.联网方式：4G物联网或TCP/IP；(提供相关证明材料并加盖鲜章)</w:t>
            </w:r>
          </w:p>
          <w:p>
            <w:pPr>
              <w:jc w:val="left"/>
              <w:rPr>
                <w:rFonts w:hint="eastAsia" w:hAnsi="宋体" w:cs="宋体"/>
                <w:sz w:val="24"/>
                <w:szCs w:val="24"/>
              </w:rPr>
            </w:pPr>
            <w:r>
              <w:rPr>
                <w:rFonts w:hint="eastAsia" w:hAnsi="宋体" w:cs="宋体"/>
                <w:sz w:val="24"/>
                <w:szCs w:val="24"/>
              </w:rPr>
              <w:t>2、远程温度监测，可检测区域、仪器内部、外围等温度变化情况；(提供相关证明材料并加盖鲜章)</w:t>
            </w:r>
          </w:p>
          <w:p>
            <w:pPr>
              <w:jc w:val="left"/>
              <w:rPr>
                <w:rFonts w:hint="eastAsia" w:hAnsi="宋体" w:cs="宋体"/>
                <w:sz w:val="24"/>
                <w:szCs w:val="24"/>
              </w:rPr>
            </w:pPr>
            <w:r>
              <w:rPr>
                <w:rFonts w:hint="eastAsia" w:hAnsi="宋体" w:cs="宋体"/>
                <w:sz w:val="24"/>
                <w:szCs w:val="24"/>
              </w:rPr>
              <w:t>3、可在电脑端和手机端实时查看温度数据，对近期温度监测数据自动生成可视化温度曲线图，便于统计存档和时段性预测，加强温度周期性预警；(提供相关证明材料并加盖鲜章)</w:t>
            </w:r>
          </w:p>
          <w:p>
            <w:pPr>
              <w:jc w:val="left"/>
              <w:rPr>
                <w:rFonts w:hint="eastAsia" w:hAnsi="宋体" w:cs="宋体"/>
                <w:sz w:val="24"/>
                <w:szCs w:val="24"/>
              </w:rPr>
            </w:pPr>
            <w:r>
              <w:rPr>
                <w:rFonts w:hint="eastAsia" w:hAnsi="宋体" w:cs="宋体"/>
                <w:sz w:val="24"/>
                <w:szCs w:val="24"/>
              </w:rPr>
              <w:t>4、当温度超出预设阀值时，可通过以下三种方式：微信公众号、短信推送，系统拨打电话方式发送超温报警、监测设备断电报警；(提供相关证明材料并加盖鲜章)</w:t>
            </w:r>
          </w:p>
          <w:p>
            <w:pPr>
              <w:jc w:val="left"/>
              <w:rPr>
                <w:rFonts w:hint="eastAsia" w:hAnsi="宋体" w:cs="宋体"/>
                <w:sz w:val="24"/>
                <w:szCs w:val="24"/>
              </w:rPr>
            </w:pPr>
            <w:r>
              <w:rPr>
                <w:rFonts w:hint="eastAsia" w:hAnsi="宋体" w:cs="宋体"/>
                <w:sz w:val="24"/>
                <w:szCs w:val="24"/>
              </w:rPr>
              <w:t>5、温度监测范围：-20°~80°，测温的最大允许误差应不超过±2℃；(提供相关证明材料并加盖鲜章)</w:t>
            </w:r>
          </w:p>
          <w:p>
            <w:pPr>
              <w:jc w:val="left"/>
              <w:rPr>
                <w:rFonts w:hint="eastAsia" w:hAnsi="宋体" w:cs="宋体"/>
                <w:sz w:val="24"/>
                <w:szCs w:val="24"/>
              </w:rPr>
            </w:pPr>
            <w:r>
              <w:rPr>
                <w:rFonts w:hint="eastAsia" w:hAnsi="宋体" w:cs="宋体"/>
                <w:sz w:val="24"/>
                <w:szCs w:val="24"/>
              </w:rPr>
              <w:t>6、项目要求：温度监测系统和监控系统、门禁系统、人员信息等其他子系统为统一软件平台集中管理</w:t>
            </w:r>
          </w:p>
        </w:tc>
      </w:tr>
    </w:tbl>
    <w:p>
      <w:pPr>
        <w:rPr>
          <w:rFonts w:hint="eastAsia" w:hAnsi="宋体"/>
          <w:b/>
          <w:sz w:val="24"/>
          <w:szCs w:val="24"/>
        </w:rPr>
      </w:pPr>
      <w:r>
        <w:rPr>
          <w:rFonts w:hint="eastAsia" w:hAnsi="宋体"/>
          <w:b/>
          <w:sz w:val="24"/>
          <w:szCs w:val="24"/>
        </w:rPr>
        <w:t>4、安装服务</w:t>
      </w:r>
    </w:p>
    <w:tbl>
      <w:tblPr>
        <w:tblStyle w:val="12"/>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1200"/>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52" w:type="dxa"/>
            <w:vAlign w:val="center"/>
          </w:tcPr>
          <w:p>
            <w:pPr>
              <w:ind w:left="56"/>
              <w:jc w:val="center"/>
              <w:rPr>
                <w:rFonts w:hint="eastAsia" w:hAnsi="宋体" w:cs="宋体"/>
                <w:sz w:val="24"/>
                <w:szCs w:val="24"/>
              </w:rPr>
            </w:pPr>
            <w:r>
              <w:rPr>
                <w:rFonts w:hint="eastAsia" w:hAnsi="宋体" w:cs="宋体"/>
                <w:sz w:val="24"/>
                <w:szCs w:val="24"/>
              </w:rPr>
              <w:t>产品名称</w:t>
            </w:r>
          </w:p>
        </w:tc>
        <w:tc>
          <w:tcPr>
            <w:tcW w:w="1200" w:type="dxa"/>
            <w:vAlign w:val="center"/>
          </w:tcPr>
          <w:p>
            <w:pPr>
              <w:ind w:left="56"/>
              <w:jc w:val="center"/>
              <w:rPr>
                <w:rFonts w:hint="eastAsia" w:hAnsi="宋体" w:cs="宋体"/>
                <w:sz w:val="24"/>
                <w:szCs w:val="24"/>
              </w:rPr>
            </w:pPr>
            <w:r>
              <w:rPr>
                <w:rFonts w:hint="eastAsia" w:hAnsi="宋体" w:cs="宋体"/>
                <w:sz w:val="24"/>
                <w:szCs w:val="24"/>
              </w:rPr>
              <w:t>数量</w:t>
            </w:r>
          </w:p>
        </w:tc>
        <w:tc>
          <w:tcPr>
            <w:tcW w:w="7513" w:type="dxa"/>
            <w:vAlign w:val="center"/>
          </w:tcPr>
          <w:p>
            <w:pPr>
              <w:ind w:left="56"/>
              <w:jc w:val="center"/>
              <w:rPr>
                <w:rFonts w:hint="eastAsia" w:hAnsi="宋体" w:cs="宋体"/>
                <w:sz w:val="24"/>
                <w:szCs w:val="24"/>
              </w:rPr>
            </w:pPr>
            <w:r>
              <w:rPr>
                <w:rFonts w:hint="eastAsia" w:hAnsi="宋体" w:cs="宋体"/>
                <w:sz w:val="24"/>
                <w:szCs w:val="24"/>
              </w:rPr>
              <w:t>功能及参数要求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52" w:type="dxa"/>
            <w:vAlign w:val="center"/>
          </w:tcPr>
          <w:p>
            <w:pPr>
              <w:jc w:val="center"/>
              <w:rPr>
                <w:rFonts w:hint="eastAsia" w:hAnsi="宋体"/>
                <w:sz w:val="24"/>
                <w:szCs w:val="24"/>
              </w:rPr>
            </w:pPr>
            <w:r>
              <w:rPr>
                <w:rFonts w:hint="eastAsia" w:hAnsi="宋体"/>
                <w:sz w:val="24"/>
                <w:szCs w:val="24"/>
              </w:rPr>
              <w:t>安装服务</w:t>
            </w:r>
          </w:p>
        </w:tc>
        <w:tc>
          <w:tcPr>
            <w:tcW w:w="1200" w:type="dxa"/>
            <w:vAlign w:val="center"/>
          </w:tcPr>
          <w:p>
            <w:pPr>
              <w:ind w:left="56"/>
              <w:jc w:val="center"/>
              <w:rPr>
                <w:rFonts w:hint="eastAsia" w:hAnsi="宋体"/>
                <w:b/>
                <w:bCs/>
                <w:sz w:val="24"/>
                <w:szCs w:val="24"/>
              </w:rPr>
            </w:pPr>
            <w:r>
              <w:rPr>
                <w:rFonts w:hint="eastAsia" w:hAnsi="宋体"/>
                <w:b/>
                <w:bCs/>
                <w:sz w:val="24"/>
                <w:szCs w:val="24"/>
              </w:rPr>
              <w:t>1项</w:t>
            </w:r>
          </w:p>
        </w:tc>
        <w:tc>
          <w:tcPr>
            <w:tcW w:w="7513" w:type="dxa"/>
            <w:vAlign w:val="center"/>
          </w:tcPr>
          <w:p>
            <w:pPr>
              <w:jc w:val="left"/>
              <w:rPr>
                <w:rFonts w:hint="eastAsia" w:hAnsi="宋体" w:cs="宋体"/>
                <w:sz w:val="24"/>
                <w:szCs w:val="24"/>
              </w:rPr>
            </w:pPr>
            <w:r>
              <w:rPr>
                <w:rFonts w:hint="eastAsia" w:hAnsi="宋体" w:cs="宋体"/>
                <w:sz w:val="24"/>
                <w:szCs w:val="24"/>
              </w:rPr>
              <w:t>1、建设上述三套系统所需线材等必要设备及相关配件辅材，具体数量类别依现场情况和系统实现功能进行配备；</w:t>
            </w:r>
          </w:p>
          <w:p>
            <w:pPr>
              <w:jc w:val="left"/>
              <w:rPr>
                <w:rFonts w:hint="eastAsia" w:hAnsi="宋体" w:cs="宋体"/>
                <w:sz w:val="24"/>
                <w:szCs w:val="24"/>
              </w:rPr>
            </w:pPr>
            <w:r>
              <w:rPr>
                <w:rFonts w:hint="eastAsia" w:hAnsi="宋体" w:cs="宋体"/>
                <w:sz w:val="24"/>
                <w:szCs w:val="24"/>
              </w:rPr>
              <w:t>2、需明确本项目的管理负责人、施工技术员配置信息、施工计划配置情况，且需为投标人公司员工，提供承诺函和证明材料（社保证明或缴费清单）</w:t>
            </w:r>
          </w:p>
        </w:tc>
      </w:tr>
    </w:tbl>
    <w:p>
      <w:pPr>
        <w:jc w:val="left"/>
        <w:rPr>
          <w:rFonts w:hint="eastAsia" w:ascii="仿宋_GB2312" w:hAnsi="仿宋_GB2312" w:eastAsia="仿宋_GB2312" w:cs="仿宋_GB2312"/>
          <w:sz w:val="24"/>
          <w:szCs w:val="28"/>
        </w:rPr>
      </w:pPr>
    </w:p>
    <w:p>
      <w:pPr>
        <w:pStyle w:val="2"/>
      </w:pPr>
    </w:p>
    <w:p>
      <w:pPr>
        <w:pStyle w:val="2"/>
      </w:pPr>
    </w:p>
    <w:p>
      <w:pPr>
        <w:pStyle w:val="2"/>
      </w:pPr>
    </w:p>
    <w:p>
      <w:pPr>
        <w:pStyle w:val="2"/>
      </w:pPr>
    </w:p>
    <w:p>
      <w:pPr>
        <w:pStyle w:val="2"/>
      </w:pPr>
    </w:p>
    <w:p>
      <w:pPr>
        <w:pStyle w:val="2"/>
      </w:pPr>
    </w:p>
    <w:p>
      <w:pPr>
        <w:rPr>
          <w:rFonts w:hint="eastAsia" w:ascii="宋体" w:hAnsi="宋体" w:eastAsia="宋体" w:cs="宋体"/>
        </w:rPr>
      </w:pPr>
    </w:p>
    <w:p>
      <w:pPr>
        <w:pStyle w:val="3"/>
        <w:spacing w:line="360" w:lineRule="auto"/>
        <w:rPr>
          <w:rFonts w:hint="eastAsia" w:ascii="宋体" w:hAnsi="宋体" w:eastAsia="宋体" w:cs="宋体"/>
          <w:sz w:val="28"/>
          <w:szCs w:val="28"/>
        </w:rPr>
      </w:pPr>
      <w:r>
        <w:rPr>
          <w:rFonts w:hint="eastAsia" w:ascii="宋体" w:hAnsi="宋体" w:eastAsia="宋体" w:cs="宋体"/>
        </w:rPr>
        <w:t>第</w:t>
      </w:r>
      <w:r>
        <w:rPr>
          <w:rFonts w:hint="eastAsia" w:ascii="宋体" w:hAnsi="宋体" w:eastAsia="宋体" w:cs="宋体"/>
          <w:lang w:eastAsia="zh-CN"/>
        </w:rPr>
        <w:t>二</w:t>
      </w:r>
      <w:r>
        <w:rPr>
          <w:rFonts w:hint="eastAsia" w:ascii="宋体" w:hAnsi="宋体" w:eastAsia="宋体" w:cs="宋体"/>
        </w:rPr>
        <w:t>篇 项目商务要求</w:t>
      </w:r>
      <w:bookmarkEnd w:id="4"/>
      <w:bookmarkEnd w:id="5"/>
      <w:bookmarkStart w:id="7" w:name="_Toc505608529"/>
    </w:p>
    <w:bookmarkEnd w:id="6"/>
    <w:bookmarkEnd w:id="7"/>
    <w:p>
      <w:pPr>
        <w:snapToGrid w:val="0"/>
        <w:spacing w:line="360" w:lineRule="auto"/>
        <w:rPr>
          <w:sz w:val="24"/>
        </w:rPr>
      </w:pPr>
    </w:p>
    <w:p>
      <w:pPr>
        <w:pStyle w:val="4"/>
        <w:spacing w:line="360" w:lineRule="auto"/>
      </w:pPr>
      <w:bookmarkStart w:id="8" w:name="_Toc98942883"/>
      <w:r>
        <w:rPr>
          <w:rFonts w:hint="eastAsia"/>
        </w:rPr>
        <w:t>一、交货期、交货地点及验收方式</w:t>
      </w:r>
      <w:bookmarkEnd w:id="8"/>
    </w:p>
    <w:p>
      <w:pPr>
        <w:snapToGrid w:val="0"/>
        <w:spacing w:line="276" w:lineRule="auto"/>
        <w:ind w:firstLine="480" w:firstLineChars="200"/>
        <w:rPr>
          <w:sz w:val="24"/>
        </w:rPr>
      </w:pPr>
      <w:r>
        <w:rPr>
          <w:rFonts w:hint="eastAsia"/>
          <w:sz w:val="24"/>
        </w:rPr>
        <w:t>1.1交货期</w:t>
      </w:r>
    </w:p>
    <w:p>
      <w:pPr>
        <w:snapToGrid w:val="0"/>
        <w:spacing w:line="276" w:lineRule="auto"/>
        <w:ind w:firstLine="480" w:firstLineChars="200"/>
        <w:rPr>
          <w:sz w:val="24"/>
        </w:rPr>
      </w:pPr>
      <w:r>
        <w:rPr>
          <w:rFonts w:hint="eastAsia"/>
          <w:sz w:val="24"/>
        </w:rPr>
        <w:t>中标人应在采购合同签订后30个日历日内交货并完成安装调试。由于中标人原因</w:t>
      </w:r>
      <w:r>
        <w:rPr>
          <w:rFonts w:hint="eastAsia" w:hAnsi="宋体"/>
          <w:sz w:val="24"/>
          <w:szCs w:val="24"/>
        </w:rPr>
        <w:t>每超过1个日历日赔偿采购人合同总额的千分之五延期费。</w:t>
      </w:r>
    </w:p>
    <w:p>
      <w:pPr>
        <w:snapToGrid w:val="0"/>
        <w:spacing w:line="276" w:lineRule="auto"/>
        <w:ind w:firstLine="480" w:firstLineChars="200"/>
        <w:rPr>
          <w:sz w:val="24"/>
        </w:rPr>
      </w:pPr>
      <w:r>
        <w:rPr>
          <w:rFonts w:hint="eastAsia"/>
          <w:sz w:val="24"/>
        </w:rPr>
        <w:t>1.2交货地点</w:t>
      </w:r>
    </w:p>
    <w:p>
      <w:pPr>
        <w:snapToGrid w:val="0"/>
        <w:spacing w:line="276" w:lineRule="auto"/>
        <w:ind w:firstLine="480" w:firstLineChars="200"/>
        <w:rPr>
          <w:sz w:val="24"/>
        </w:rPr>
      </w:pPr>
      <w:r>
        <w:rPr>
          <w:rFonts w:hint="eastAsia"/>
          <w:sz w:val="24"/>
        </w:rPr>
        <w:t>交货地点：采购人指定地点。</w:t>
      </w:r>
    </w:p>
    <w:p>
      <w:pPr>
        <w:snapToGrid w:val="0"/>
        <w:spacing w:line="276" w:lineRule="auto"/>
        <w:ind w:firstLine="480" w:firstLineChars="200"/>
        <w:rPr>
          <w:sz w:val="24"/>
        </w:rPr>
      </w:pPr>
      <w:r>
        <w:rPr>
          <w:rFonts w:hint="eastAsia"/>
          <w:sz w:val="24"/>
        </w:rPr>
        <w:t>1.3验收方式</w:t>
      </w:r>
    </w:p>
    <w:p>
      <w:pPr>
        <w:snapToGrid w:val="0"/>
        <w:spacing w:line="276" w:lineRule="auto"/>
        <w:ind w:firstLine="480" w:firstLineChars="200"/>
        <w:rPr>
          <w:sz w:val="24"/>
        </w:rPr>
      </w:pPr>
      <w:r>
        <w:rPr>
          <w:rFonts w:hint="eastAsia"/>
          <w:sz w:val="24"/>
        </w:rPr>
        <w:t>1.3.1.货物到达现场后，中标人应在使用单位人员在场情况下当面开箱，共同清点、检查外观，作出开箱记录，双方签字确认。</w:t>
      </w:r>
    </w:p>
    <w:p>
      <w:pPr>
        <w:snapToGrid w:val="0"/>
        <w:spacing w:line="276" w:lineRule="auto"/>
        <w:ind w:firstLine="480" w:firstLineChars="200"/>
        <w:rPr>
          <w:sz w:val="24"/>
        </w:rPr>
      </w:pPr>
      <w:r>
        <w:rPr>
          <w:rFonts w:hint="eastAsia"/>
          <w:sz w:val="24"/>
        </w:rPr>
        <w:t>1.3.2.中标人应保证货物到达采购人所在地完好无损，如有缺漏、损坏，由投标人负责调换、补齐或赔偿。</w:t>
      </w:r>
    </w:p>
    <w:p>
      <w:pPr>
        <w:snapToGrid w:val="0"/>
        <w:spacing w:line="276" w:lineRule="auto"/>
        <w:ind w:firstLine="480" w:firstLineChars="200"/>
        <w:rPr>
          <w:sz w:val="24"/>
        </w:rPr>
      </w:pPr>
      <w:r>
        <w:rPr>
          <w:rFonts w:hint="eastAsia"/>
          <w:sz w:val="24"/>
        </w:rPr>
        <w:t>1.3.3.中标人应提供完备的技术资料、装箱单和合格证等，并派遣专业技术人员进行现场安装调试。验收合格条件如下：</w:t>
      </w:r>
    </w:p>
    <w:p>
      <w:pPr>
        <w:snapToGrid w:val="0"/>
        <w:spacing w:line="400" w:lineRule="exact"/>
        <w:ind w:firstLine="480" w:firstLineChars="200"/>
        <w:rPr>
          <w:sz w:val="24"/>
        </w:rPr>
      </w:pPr>
      <w:r>
        <w:rPr>
          <w:rFonts w:hint="eastAsia"/>
          <w:sz w:val="24"/>
        </w:rPr>
        <w:t>1.3.3.1设备技术参数与采购合同一致，性能指标达到规定的标准。</w:t>
      </w:r>
    </w:p>
    <w:p>
      <w:pPr>
        <w:snapToGrid w:val="0"/>
        <w:spacing w:line="400" w:lineRule="exact"/>
        <w:ind w:firstLine="480" w:firstLineChars="200"/>
        <w:rPr>
          <w:sz w:val="24"/>
        </w:rPr>
      </w:pPr>
      <w:r>
        <w:rPr>
          <w:rFonts w:hint="eastAsia"/>
          <w:sz w:val="24"/>
        </w:rPr>
        <w:t>1.3.3.2货物技术资料、装箱单、合格证等资料齐全。</w:t>
      </w:r>
    </w:p>
    <w:p>
      <w:pPr>
        <w:snapToGrid w:val="0"/>
        <w:spacing w:line="400" w:lineRule="exact"/>
        <w:ind w:firstLine="480" w:firstLineChars="200"/>
        <w:rPr>
          <w:sz w:val="24"/>
        </w:rPr>
      </w:pPr>
      <w:r>
        <w:rPr>
          <w:rFonts w:hint="eastAsia"/>
          <w:sz w:val="24"/>
        </w:rPr>
        <w:t>1.3.3.3在系统试运行期间所出现的问题得到解决，并运行正常。</w:t>
      </w:r>
    </w:p>
    <w:p>
      <w:pPr>
        <w:snapToGrid w:val="0"/>
        <w:spacing w:line="400" w:lineRule="exact"/>
        <w:ind w:firstLine="480" w:firstLineChars="200"/>
        <w:rPr>
          <w:sz w:val="24"/>
        </w:rPr>
      </w:pPr>
      <w:r>
        <w:rPr>
          <w:rFonts w:hint="eastAsia"/>
          <w:sz w:val="24"/>
        </w:rPr>
        <w:t>1.3.3.4在规定时间内完成交货并验收，并经采购人确认。</w:t>
      </w:r>
    </w:p>
    <w:p>
      <w:pPr>
        <w:snapToGrid w:val="0"/>
        <w:spacing w:line="400" w:lineRule="exact"/>
        <w:ind w:firstLine="480" w:firstLineChars="200"/>
        <w:rPr>
          <w:sz w:val="24"/>
        </w:rPr>
      </w:pPr>
      <w:r>
        <w:rPr>
          <w:rFonts w:hint="eastAsia"/>
          <w:sz w:val="24"/>
        </w:rPr>
        <w:t>1.4.产品在安装调试并试运行符合要求后，才作为最终验收。</w:t>
      </w:r>
    </w:p>
    <w:p>
      <w:pPr>
        <w:snapToGrid w:val="0"/>
        <w:spacing w:line="400" w:lineRule="exact"/>
        <w:ind w:firstLine="480" w:firstLineChars="200"/>
        <w:rPr>
          <w:sz w:val="24"/>
        </w:rPr>
      </w:pPr>
      <w:r>
        <w:rPr>
          <w:rFonts w:hint="eastAsia"/>
          <w:sz w:val="24"/>
        </w:rPr>
        <w:t>1.5.投标人提供的货物未达到竞争性比选文件规定要求，且对采购人造成损失的，由投标人承担一切责任，并赔偿所造成的损失。</w:t>
      </w:r>
    </w:p>
    <w:p>
      <w:pPr>
        <w:snapToGrid w:val="0"/>
        <w:spacing w:line="400" w:lineRule="exact"/>
        <w:ind w:firstLine="480" w:firstLineChars="200"/>
        <w:rPr>
          <w:sz w:val="24"/>
        </w:rPr>
      </w:pPr>
      <w:r>
        <w:rPr>
          <w:rFonts w:hint="eastAsia"/>
          <w:sz w:val="24"/>
        </w:rPr>
        <w:t>1.6.采购人需要制造商对中标人交付的产品（包括质量、技术参数等）进行确认的，制造商应予以配合，并出具书面意见。</w:t>
      </w:r>
    </w:p>
    <w:p>
      <w:pPr>
        <w:snapToGrid w:val="0"/>
        <w:spacing w:line="400" w:lineRule="exact"/>
        <w:ind w:firstLine="480" w:firstLineChars="200"/>
        <w:rPr>
          <w:sz w:val="24"/>
        </w:rPr>
      </w:pPr>
      <w:r>
        <w:rPr>
          <w:rFonts w:hint="eastAsia"/>
          <w:sz w:val="24"/>
        </w:rPr>
        <w:t>1.7.产品包装材料由投标方自行处置。</w:t>
      </w:r>
    </w:p>
    <w:p>
      <w:pPr>
        <w:pStyle w:val="4"/>
      </w:pPr>
      <w:bookmarkStart w:id="9" w:name="_Toc505608530"/>
      <w:bookmarkStart w:id="10" w:name="_Toc98942884"/>
      <w:bookmarkStart w:id="11" w:name="_Toc267320050"/>
      <w:r>
        <w:rPr>
          <w:rFonts w:hint="eastAsia"/>
        </w:rPr>
        <w:t>二、报价要求</w:t>
      </w:r>
      <w:bookmarkEnd w:id="9"/>
      <w:bookmarkEnd w:id="10"/>
    </w:p>
    <w:p>
      <w:pPr>
        <w:snapToGrid w:val="0"/>
        <w:spacing w:line="360" w:lineRule="auto"/>
        <w:ind w:firstLine="480" w:firstLineChars="200"/>
        <w:rPr>
          <w:sz w:val="24"/>
        </w:rPr>
      </w:pPr>
      <w:bookmarkStart w:id="12" w:name="_Toc505608531"/>
      <w:r>
        <w:rPr>
          <w:rFonts w:hint="eastAsia"/>
          <w:sz w:val="24"/>
        </w:rPr>
        <w:t>2.1报价须为人民币报价，包含：产品价、运输费（含装卸费）、保险费、安装费、调试费、售后服务费、税费、培训费等货到采购人指定地点的所有费用。</w:t>
      </w:r>
    </w:p>
    <w:p>
      <w:pPr>
        <w:pStyle w:val="4"/>
      </w:pPr>
      <w:bookmarkStart w:id="13" w:name="_Toc98942885"/>
      <w:r>
        <w:rPr>
          <w:rFonts w:hint="eastAsia"/>
        </w:rPr>
        <w:t>三、质量保证及售后服务</w:t>
      </w:r>
      <w:bookmarkEnd w:id="11"/>
      <w:bookmarkEnd w:id="12"/>
      <w:bookmarkEnd w:id="13"/>
    </w:p>
    <w:p>
      <w:pPr>
        <w:snapToGrid w:val="0"/>
        <w:spacing w:line="400" w:lineRule="exact"/>
        <w:ind w:firstLine="482" w:firstLineChars="200"/>
        <w:rPr>
          <w:b/>
          <w:sz w:val="24"/>
        </w:rPr>
      </w:pPr>
      <w:r>
        <w:rPr>
          <w:rFonts w:hint="eastAsia"/>
          <w:b/>
          <w:sz w:val="24"/>
        </w:rPr>
        <w:t>3.1产品质量保证期</w:t>
      </w:r>
    </w:p>
    <w:p>
      <w:pPr>
        <w:snapToGrid w:val="0"/>
        <w:spacing w:line="360" w:lineRule="auto"/>
        <w:ind w:firstLine="480" w:firstLineChars="200"/>
        <w:rPr>
          <w:rFonts w:hint="eastAsia" w:hAnsi="宋体" w:cs="宋体"/>
          <w:sz w:val="24"/>
          <w:szCs w:val="24"/>
        </w:rPr>
      </w:pPr>
      <w:r>
        <w:rPr>
          <w:rFonts w:hint="eastAsia"/>
          <w:sz w:val="24"/>
        </w:rPr>
        <w:t>3.1.</w:t>
      </w:r>
      <w:r>
        <w:rPr>
          <w:rFonts w:hint="eastAsia" w:hAnsi="宋体" w:cs="宋体"/>
          <w:sz w:val="24"/>
          <w:szCs w:val="24"/>
        </w:rPr>
        <w:t>1.投标人应明确承诺：其投标产品质量保证期达到</w:t>
      </w:r>
      <w:r>
        <w:rPr>
          <w:rFonts w:hint="eastAsia" w:hAnsi="宋体" w:cs="宋体"/>
          <w:sz w:val="24"/>
          <w:szCs w:val="24"/>
          <w:u w:val="single"/>
        </w:rPr>
        <w:t>三</w:t>
      </w:r>
      <w:r>
        <w:rPr>
          <w:rFonts w:hint="eastAsia" w:hAnsi="宋体" w:cs="宋体"/>
          <w:sz w:val="24"/>
          <w:szCs w:val="24"/>
        </w:rPr>
        <w:t>年（耗材及易损件除外）。</w:t>
      </w:r>
    </w:p>
    <w:p>
      <w:pPr>
        <w:snapToGrid w:val="0"/>
        <w:spacing w:line="360" w:lineRule="auto"/>
        <w:ind w:firstLine="480" w:firstLineChars="200"/>
        <w:rPr>
          <w:rFonts w:hint="eastAsia" w:hAnsi="宋体" w:cs="宋体"/>
          <w:sz w:val="24"/>
          <w:szCs w:val="24"/>
        </w:rPr>
      </w:pPr>
      <w:r>
        <w:rPr>
          <w:rFonts w:hint="eastAsia"/>
          <w:sz w:val="24"/>
        </w:rPr>
        <w:t>3.1.</w:t>
      </w:r>
      <w:r>
        <w:rPr>
          <w:rFonts w:hint="eastAsia" w:hAnsi="宋体" w:cs="宋体"/>
          <w:sz w:val="24"/>
          <w:szCs w:val="24"/>
        </w:rPr>
        <w:t>2.投标产品属于国家规定“三包”范围的，其产品质量保证期不得低于“三包”规定。</w:t>
      </w:r>
    </w:p>
    <w:p>
      <w:pPr>
        <w:snapToGrid w:val="0"/>
        <w:spacing w:line="360" w:lineRule="auto"/>
        <w:ind w:firstLine="480" w:firstLineChars="200"/>
        <w:rPr>
          <w:rFonts w:hint="eastAsia" w:hAnsi="宋体" w:cs="宋体"/>
          <w:sz w:val="24"/>
          <w:szCs w:val="24"/>
        </w:rPr>
      </w:pPr>
      <w:r>
        <w:rPr>
          <w:rFonts w:hint="eastAsia"/>
          <w:sz w:val="24"/>
        </w:rPr>
        <w:t>3.1.</w:t>
      </w:r>
      <w:r>
        <w:rPr>
          <w:rFonts w:hint="eastAsia" w:hAnsi="宋体" w:cs="宋体"/>
          <w:sz w:val="24"/>
          <w:szCs w:val="24"/>
        </w:rPr>
        <w:t>3.投标人的质量保证期承诺优于国家“三包”规定的，按投标人实际承诺执行。</w:t>
      </w:r>
    </w:p>
    <w:p>
      <w:pPr>
        <w:snapToGrid w:val="0"/>
        <w:spacing w:line="360" w:lineRule="auto"/>
        <w:ind w:firstLine="480" w:firstLineChars="200"/>
        <w:rPr>
          <w:rFonts w:hint="eastAsia" w:hAnsi="宋体" w:cs="宋体"/>
          <w:sz w:val="24"/>
          <w:szCs w:val="24"/>
        </w:rPr>
      </w:pPr>
      <w:r>
        <w:rPr>
          <w:rFonts w:hint="eastAsia"/>
          <w:sz w:val="24"/>
        </w:rPr>
        <w:t>3.1.</w:t>
      </w:r>
      <w:r>
        <w:rPr>
          <w:rFonts w:hint="eastAsia" w:hAnsi="宋体" w:cs="宋体"/>
          <w:sz w:val="24"/>
          <w:szCs w:val="24"/>
        </w:rPr>
        <w:t>4.投标产品由制造商（指产品生产制造商，或其负责销售、售后服务机构，以下同）负责标准售后服务的，应当在响应文件中予以明确说明,并附制造商售后服务承诺。</w:t>
      </w:r>
    </w:p>
    <w:p>
      <w:pPr>
        <w:snapToGrid w:val="0"/>
        <w:spacing w:line="360" w:lineRule="auto"/>
        <w:ind w:firstLine="480" w:firstLineChars="200"/>
        <w:rPr>
          <w:rFonts w:hint="eastAsia" w:hAnsi="宋体" w:cs="宋体"/>
          <w:sz w:val="24"/>
          <w:szCs w:val="24"/>
        </w:rPr>
      </w:pPr>
      <w:r>
        <w:rPr>
          <w:rFonts w:hint="eastAsia" w:hAnsi="宋体" w:cs="宋体"/>
          <w:sz w:val="24"/>
          <w:szCs w:val="24"/>
        </w:rPr>
        <w:t>3.1.5.投标人提供的商品必须是原装封装的全新出厂产品，完全符合国家有关技术标准、医疗卫生行业标准、产品质量标准。</w:t>
      </w:r>
    </w:p>
    <w:p>
      <w:pPr>
        <w:snapToGrid w:val="0"/>
        <w:spacing w:line="400" w:lineRule="exact"/>
        <w:ind w:firstLine="482" w:firstLineChars="200"/>
        <w:rPr>
          <w:b/>
          <w:sz w:val="24"/>
        </w:rPr>
      </w:pPr>
      <w:r>
        <w:rPr>
          <w:rFonts w:hint="eastAsia"/>
          <w:b/>
          <w:sz w:val="24"/>
        </w:rPr>
        <w:t>3.2.售后服务内容</w:t>
      </w:r>
    </w:p>
    <w:p>
      <w:pPr>
        <w:snapToGrid w:val="0"/>
        <w:spacing w:line="400" w:lineRule="exact"/>
        <w:ind w:firstLine="480" w:firstLineChars="200"/>
        <w:rPr>
          <w:sz w:val="24"/>
        </w:rPr>
      </w:pPr>
      <w:r>
        <w:rPr>
          <w:rFonts w:hint="eastAsia"/>
          <w:sz w:val="24"/>
        </w:rPr>
        <w:t>3.2.1.投标人和制造商在质量保证期内应当为采购人提供以下技术支持和服务：</w:t>
      </w:r>
    </w:p>
    <w:p>
      <w:pPr>
        <w:snapToGrid w:val="0"/>
        <w:spacing w:line="400" w:lineRule="exact"/>
        <w:ind w:firstLine="480" w:firstLineChars="200"/>
        <w:rPr>
          <w:sz w:val="24"/>
        </w:rPr>
      </w:pPr>
      <w:r>
        <w:rPr>
          <w:rFonts w:hint="eastAsia"/>
          <w:sz w:val="24"/>
        </w:rPr>
        <w:t>3.2.1.1电话咨询</w:t>
      </w:r>
    </w:p>
    <w:p>
      <w:pPr>
        <w:snapToGrid w:val="0"/>
        <w:spacing w:line="400" w:lineRule="exact"/>
        <w:ind w:firstLine="480" w:firstLineChars="200"/>
        <w:rPr>
          <w:sz w:val="24"/>
        </w:rPr>
      </w:pPr>
      <w:r>
        <w:rPr>
          <w:rFonts w:hint="eastAsia"/>
          <w:sz w:val="24"/>
        </w:rPr>
        <w:t>中标人和制造商应当为采购人提供技术援助电话，解答采购人在使用中遇到的问题，及时为采购人提出解决问题的建议。</w:t>
      </w:r>
    </w:p>
    <w:p>
      <w:pPr>
        <w:snapToGrid w:val="0"/>
        <w:spacing w:line="400" w:lineRule="exact"/>
        <w:ind w:firstLine="480" w:firstLineChars="200"/>
        <w:rPr>
          <w:sz w:val="24"/>
        </w:rPr>
      </w:pPr>
      <w:r>
        <w:rPr>
          <w:rFonts w:hint="eastAsia"/>
          <w:sz w:val="24"/>
        </w:rPr>
        <w:t>3.2.1.2现场响应</w:t>
      </w:r>
    </w:p>
    <w:p>
      <w:pPr>
        <w:snapToGrid w:val="0"/>
        <w:spacing w:line="400" w:lineRule="exact"/>
        <w:ind w:firstLine="480" w:firstLineChars="200"/>
        <w:rPr>
          <w:sz w:val="24"/>
        </w:rPr>
      </w:pPr>
      <w:r>
        <w:rPr>
          <w:rFonts w:hint="eastAsia"/>
          <w:sz w:val="24"/>
        </w:rPr>
        <w:t>采购人遇到使用及技术问题，电话咨询不能解决的，售后服务人员应在24小时内到达现场进行处理，确保产品正常工作（</w:t>
      </w:r>
      <w:r>
        <w:rPr>
          <w:rFonts w:hint="eastAsia" w:hAnsi="宋体"/>
          <w:sz w:val="24"/>
          <w:szCs w:val="24"/>
        </w:rPr>
        <w:t>重大紧急情况3小时内应到位</w:t>
      </w:r>
      <w:r>
        <w:rPr>
          <w:rFonts w:hint="eastAsia"/>
          <w:sz w:val="24"/>
        </w:rPr>
        <w:t>）。</w:t>
      </w:r>
    </w:p>
    <w:p>
      <w:pPr>
        <w:snapToGrid w:val="0"/>
        <w:spacing w:line="400" w:lineRule="exact"/>
        <w:ind w:firstLine="480" w:firstLineChars="200"/>
        <w:rPr>
          <w:sz w:val="24"/>
        </w:rPr>
      </w:pPr>
      <w:r>
        <w:rPr>
          <w:rFonts w:hint="eastAsia"/>
          <w:sz w:val="24"/>
        </w:rPr>
        <w:t>3.2.1.3技术升级</w:t>
      </w:r>
    </w:p>
    <w:p>
      <w:pPr>
        <w:snapToGrid w:val="0"/>
        <w:spacing w:line="400" w:lineRule="exact"/>
        <w:ind w:firstLine="480" w:firstLineChars="200"/>
        <w:rPr>
          <w:sz w:val="24"/>
        </w:rPr>
      </w:pPr>
      <w:r>
        <w:rPr>
          <w:rFonts w:hint="eastAsia"/>
          <w:sz w:val="24"/>
        </w:rPr>
        <w:t>在质保期内，如果中标人和制造商的产品技术升级，投标人应及时通知采购人，如采购人有相应要求，中标人和制造商应对采购人购买的产品进行升级服务。</w:t>
      </w:r>
    </w:p>
    <w:p>
      <w:pPr>
        <w:snapToGrid w:val="0"/>
        <w:spacing w:line="400" w:lineRule="exact"/>
        <w:ind w:firstLine="480" w:firstLineChars="200"/>
        <w:rPr>
          <w:sz w:val="24"/>
        </w:rPr>
      </w:pPr>
      <w:r>
        <w:rPr>
          <w:rFonts w:hint="eastAsia"/>
          <w:sz w:val="24"/>
        </w:rPr>
        <w:t>3.2.2.质保期外服务要求</w:t>
      </w:r>
    </w:p>
    <w:p>
      <w:pPr>
        <w:snapToGrid w:val="0"/>
        <w:spacing w:line="400" w:lineRule="exact"/>
        <w:ind w:firstLine="480" w:firstLineChars="200"/>
        <w:rPr>
          <w:sz w:val="24"/>
        </w:rPr>
      </w:pPr>
      <w:r>
        <w:rPr>
          <w:rFonts w:hint="eastAsia"/>
          <w:sz w:val="24"/>
        </w:rPr>
        <w:t>3.2.2.1质量保证期过后，投标人和制造商应同样提供免费电话咨询服务，并应承诺提供产品上门维护服务。</w:t>
      </w:r>
    </w:p>
    <w:p>
      <w:pPr>
        <w:snapToGrid w:val="0"/>
        <w:spacing w:line="400" w:lineRule="exact"/>
        <w:ind w:firstLine="480" w:firstLineChars="200"/>
        <w:rPr>
          <w:sz w:val="24"/>
        </w:rPr>
      </w:pPr>
      <w:r>
        <w:rPr>
          <w:rFonts w:hint="eastAsia"/>
          <w:sz w:val="24"/>
        </w:rPr>
        <w:t>3.2.2.2质量保证期过后，采购人需要继续由原投标人和制造商提供售后服务的，该投标人和制造商应以优惠价格提供售后服务。</w:t>
      </w:r>
    </w:p>
    <w:p>
      <w:pPr>
        <w:snapToGrid w:val="0"/>
        <w:spacing w:line="400" w:lineRule="exact"/>
        <w:ind w:firstLine="480" w:firstLineChars="200"/>
        <w:rPr>
          <w:sz w:val="24"/>
        </w:rPr>
      </w:pPr>
      <w:r>
        <w:rPr>
          <w:rFonts w:hint="eastAsia"/>
          <w:sz w:val="24"/>
        </w:rPr>
        <w:t>3.2.2.3</w:t>
      </w:r>
      <w:r>
        <w:rPr>
          <w:sz w:val="24"/>
        </w:rPr>
        <w:t>质保期后终身免费上门维修，只收取配件费。</w:t>
      </w:r>
    </w:p>
    <w:p>
      <w:pPr>
        <w:snapToGrid w:val="0"/>
        <w:spacing w:line="400" w:lineRule="exact"/>
        <w:ind w:firstLine="480" w:firstLineChars="200"/>
        <w:rPr>
          <w:bCs/>
          <w:sz w:val="24"/>
        </w:rPr>
      </w:pPr>
      <w:r>
        <w:rPr>
          <w:rFonts w:hint="eastAsia"/>
          <w:bCs/>
          <w:sz w:val="24"/>
        </w:rPr>
        <w:t>3.3.备品备件及易损件</w:t>
      </w:r>
    </w:p>
    <w:p>
      <w:pPr>
        <w:snapToGrid w:val="0"/>
        <w:spacing w:line="400" w:lineRule="exact"/>
        <w:ind w:firstLine="480" w:firstLineChars="200"/>
        <w:rPr>
          <w:sz w:val="24"/>
        </w:rPr>
      </w:pPr>
      <w:r>
        <w:rPr>
          <w:rFonts w:hint="eastAsia"/>
          <w:sz w:val="24"/>
        </w:rPr>
        <w:t>中标人和制造商售后服务中，维修使用的备品备件及易损件应为原厂配件，未经采购人同意不得使用非原厂配件。</w:t>
      </w:r>
    </w:p>
    <w:p>
      <w:pPr>
        <w:pStyle w:val="4"/>
      </w:pPr>
      <w:bookmarkStart w:id="14" w:name="_Toc98942886"/>
      <w:bookmarkStart w:id="15" w:name="_Toc267320051"/>
      <w:bookmarkStart w:id="16" w:name="_Toc505608532"/>
      <w:r>
        <w:rPr>
          <w:rFonts w:hint="eastAsia"/>
        </w:rPr>
        <w:t>四、付款方式</w:t>
      </w:r>
      <w:bookmarkEnd w:id="14"/>
      <w:bookmarkEnd w:id="15"/>
      <w:bookmarkEnd w:id="16"/>
    </w:p>
    <w:p>
      <w:pPr>
        <w:numPr>
          <w:ilvl w:val="255"/>
          <w:numId w:val="0"/>
        </w:numPr>
        <w:autoSpaceDE w:val="0"/>
        <w:autoSpaceDN w:val="0"/>
        <w:adjustRightInd w:val="0"/>
        <w:snapToGrid w:val="0"/>
        <w:spacing w:line="360" w:lineRule="exact"/>
        <w:ind w:firstLine="480" w:firstLineChars="200"/>
        <w:rPr>
          <w:rFonts w:hint="eastAsia" w:hAnsi="宋体" w:cs="宋体"/>
          <w:sz w:val="24"/>
          <w:szCs w:val="24"/>
        </w:rPr>
      </w:pPr>
      <w:r>
        <w:rPr>
          <w:rFonts w:hint="eastAsia" w:hAnsi="宋体" w:cs="宋体"/>
          <w:sz w:val="24"/>
          <w:szCs w:val="24"/>
        </w:rPr>
        <w:t>1.验收合格后，开具合同全额发票后15个工作日内，甲方支付合同金额的95</w:t>
      </w:r>
      <w:r>
        <w:rPr>
          <w:rFonts w:hAnsi="宋体" w:cs="宋体"/>
          <w:sz w:val="24"/>
          <w:szCs w:val="24"/>
        </w:rPr>
        <w:t>%</w:t>
      </w:r>
      <w:r>
        <w:rPr>
          <w:rFonts w:hint="eastAsia" w:hAnsi="宋体" w:cs="宋体"/>
          <w:sz w:val="24"/>
          <w:szCs w:val="24"/>
        </w:rPr>
        <w:t>；</w:t>
      </w:r>
    </w:p>
    <w:p>
      <w:pPr>
        <w:snapToGrid w:val="0"/>
        <w:spacing w:line="400" w:lineRule="exact"/>
        <w:ind w:firstLine="480" w:firstLineChars="200"/>
        <w:rPr>
          <w:rFonts w:hint="eastAsia"/>
          <w:sz w:val="24"/>
          <w:lang w:eastAsia="zh-CN"/>
        </w:rPr>
      </w:pPr>
      <w:r>
        <w:rPr>
          <w:rFonts w:hint="eastAsia" w:hAnsi="宋体" w:cs="宋体"/>
          <w:sz w:val="24"/>
          <w:szCs w:val="24"/>
        </w:rPr>
        <w:t>2.乙方在质保期满且维保义务妥善履行完毕后，向甲方提交书面付款申请，经甲方确认付款金额后，乙方再次提交确认金额的书面付款申请，甲方自收到该申请书后</w:t>
      </w:r>
      <w:r>
        <w:rPr>
          <w:rFonts w:hAnsi="宋体" w:cs="宋体"/>
          <w:sz w:val="24"/>
          <w:szCs w:val="24"/>
        </w:rPr>
        <w:t>15</w:t>
      </w:r>
      <w:r>
        <w:rPr>
          <w:rFonts w:hint="eastAsia" w:hAnsi="宋体" w:cs="宋体"/>
          <w:sz w:val="24"/>
          <w:szCs w:val="24"/>
        </w:rPr>
        <w:t>个工作日内，支付剩余款项。</w:t>
      </w: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swiss"/>
    <w:pitch w:val="default"/>
    <w:sig w:usb0="80000287" w:usb1="280F3C52" w:usb2="00000016" w:usb3="00000000" w:csb0="0004001F" w:csb1="00000000"/>
  </w:font>
  <w:font w:name="Calibri-Identity-H">
    <w:altName w:val="方正舒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ee9e6755-8930-4478-b02e-9237bb361a90"/>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105765E1"/>
    <w:rsid w:val="194F58BE"/>
    <w:rsid w:val="1B300109"/>
    <w:rsid w:val="249F06E1"/>
    <w:rsid w:val="289C64AE"/>
    <w:rsid w:val="3C523F9D"/>
    <w:rsid w:val="4030107C"/>
    <w:rsid w:val="50264710"/>
    <w:rsid w:val="60701C05"/>
    <w:rsid w:val="64C50CB4"/>
    <w:rsid w:val="710C1EC5"/>
    <w:rsid w:val="74A565C1"/>
    <w:rsid w:val="773E7889"/>
    <w:rsid w:val="77F734C0"/>
    <w:rsid w:val="7B761A97"/>
    <w:rsid w:val="7CC971B4"/>
    <w:rsid w:val="7FE5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qFormat/>
    <w:uiPriority w:val="0"/>
    <w:pPr>
      <w:keepNext/>
      <w:keepLines/>
      <w:jc w:val="left"/>
      <w:outlineLvl w:val="1"/>
    </w:pPr>
    <w:rPr>
      <w:rFonts w:ascii="Arial" w:hAnsi="Arial"/>
      <w:bCs/>
      <w:kern w:val="2"/>
      <w:sz w:val="28"/>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0"/>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7">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Body Text"/>
    <w:basedOn w:val="1"/>
    <w:link w:val="24"/>
    <w:unhideWhenUsed/>
    <w:qFormat/>
    <w:uiPriority w:val="99"/>
    <w:pPr>
      <w:snapToGrid w:val="0"/>
      <w:spacing w:line="440" w:lineRule="exact"/>
    </w:pPr>
    <w:rPr>
      <w:rFonts w:ascii="Times New Roman" w:hAnsi="Times New Roman" w:eastAsia="宋体" w:cs="Times New Roman"/>
      <w:kern w:val="0"/>
      <w:sz w:val="20"/>
      <w:szCs w:val="20"/>
    </w:rPr>
  </w:style>
  <w:style w:type="paragraph" w:styleId="9">
    <w:name w:val="Plain Text"/>
    <w:basedOn w:val="1"/>
    <w:link w:val="23"/>
    <w:qFormat/>
    <w:uiPriority w:val="0"/>
    <w:rPr>
      <w:rFonts w:ascii="宋体" w:hAnsi="Courier New" w:eastAsia="宋体" w:cs="Times New Roman"/>
      <w:szCs w:val="20"/>
    </w:rPr>
  </w:style>
  <w:style w:type="paragraph" w:styleId="10">
    <w:name w:val="footer"/>
    <w:basedOn w:val="1"/>
    <w:link w:val="18"/>
    <w:semiHidden/>
    <w:unhideWhenUsed/>
    <w:qFormat/>
    <w:uiPriority w:val="99"/>
    <w:pPr>
      <w:tabs>
        <w:tab w:val="center" w:pos="4153"/>
        <w:tab w:val="right" w:pos="8306"/>
      </w:tabs>
      <w:snapToGrid w:val="0"/>
      <w:jc w:val="left"/>
    </w:pPr>
    <w:rPr>
      <w:sz w:val="18"/>
      <w:szCs w:val="18"/>
    </w:rPr>
  </w:style>
  <w:style w:type="paragraph" w:styleId="11">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unhideWhenUsed/>
    <w:qFormat/>
    <w:uiPriority w:val="99"/>
    <w:rPr>
      <w:color w:val="0000FF"/>
      <w:u w:val="single"/>
    </w:rPr>
  </w:style>
  <w:style w:type="character" w:customStyle="1" w:styleId="17">
    <w:name w:val="页眉 Char"/>
    <w:basedOn w:val="14"/>
    <w:link w:val="11"/>
    <w:semiHidden/>
    <w:qFormat/>
    <w:uiPriority w:val="99"/>
    <w:rPr>
      <w:sz w:val="18"/>
      <w:szCs w:val="18"/>
    </w:rPr>
  </w:style>
  <w:style w:type="character" w:customStyle="1" w:styleId="18">
    <w:name w:val="页脚 Char"/>
    <w:basedOn w:val="14"/>
    <w:link w:val="10"/>
    <w:semiHidden/>
    <w:qFormat/>
    <w:uiPriority w:val="99"/>
    <w:rPr>
      <w:sz w:val="18"/>
      <w:szCs w:val="18"/>
    </w:rPr>
  </w:style>
  <w:style w:type="character" w:customStyle="1" w:styleId="19">
    <w:name w:val="正文文本缩进 Char"/>
    <w:basedOn w:val="14"/>
    <w:link w:val="2"/>
    <w:qFormat/>
    <w:uiPriority w:val="0"/>
    <w:rPr>
      <w:rFonts w:ascii="宋体" w:hAnsi="宋体" w:eastAsia="宋体" w:cs="Times New Roman"/>
      <w:sz w:val="28"/>
      <w:szCs w:val="24"/>
    </w:rPr>
  </w:style>
  <w:style w:type="character" w:customStyle="1" w:styleId="20">
    <w:name w:val="正文文本缩进 Char1"/>
    <w:basedOn w:val="14"/>
    <w:link w:val="2"/>
    <w:semiHidden/>
    <w:qFormat/>
    <w:uiPriority w:val="99"/>
  </w:style>
  <w:style w:type="character" w:customStyle="1" w:styleId="21">
    <w:name w:val="font11"/>
    <w:basedOn w:val="14"/>
    <w:qFormat/>
    <w:uiPriority w:val="0"/>
    <w:rPr>
      <w:rFonts w:hint="eastAsia" w:ascii="宋体" w:hAnsi="宋体" w:eastAsia="宋体" w:cs="宋体"/>
      <w:color w:val="000000"/>
      <w:sz w:val="24"/>
      <w:szCs w:val="24"/>
      <w:u w:val="none"/>
    </w:rPr>
  </w:style>
  <w:style w:type="character" w:customStyle="1" w:styleId="22">
    <w:name w:val="font21"/>
    <w:basedOn w:val="14"/>
    <w:qFormat/>
    <w:uiPriority w:val="0"/>
    <w:rPr>
      <w:rFonts w:hint="eastAsia" w:ascii="宋体" w:hAnsi="宋体" w:eastAsia="宋体" w:cs="宋体"/>
      <w:b/>
      <w:bCs/>
      <w:color w:val="000000"/>
      <w:sz w:val="24"/>
      <w:szCs w:val="24"/>
      <w:u w:val="none"/>
    </w:rPr>
  </w:style>
  <w:style w:type="character" w:customStyle="1" w:styleId="23">
    <w:name w:val="纯文本 Char"/>
    <w:basedOn w:val="14"/>
    <w:link w:val="9"/>
    <w:qFormat/>
    <w:uiPriority w:val="0"/>
    <w:rPr>
      <w:rFonts w:ascii="宋体" w:hAnsi="Courier New" w:eastAsia="宋体" w:cs="Times New Roman"/>
      <w:szCs w:val="20"/>
    </w:rPr>
  </w:style>
  <w:style w:type="character" w:customStyle="1" w:styleId="24">
    <w:name w:val="正文文本 Char"/>
    <w:basedOn w:val="14"/>
    <w:link w:val="8"/>
    <w:qFormat/>
    <w:uiPriority w:val="99"/>
    <w:rPr>
      <w:rFonts w:ascii="Times New Roman" w:hAnsi="Times New Roman" w:eastAsia="宋体" w:cs="Times New Roman"/>
      <w:kern w:val="0"/>
      <w:sz w:val="20"/>
      <w:szCs w:val="20"/>
    </w:rPr>
  </w:style>
  <w:style w:type="character" w:customStyle="1" w:styleId="25">
    <w:name w:val="font41"/>
    <w:basedOn w:val="14"/>
    <w:qFormat/>
    <w:uiPriority w:val="0"/>
    <w:rPr>
      <w:rFonts w:hint="default" w:ascii="Times New Roman" w:hAnsi="Times New Roman" w:cs="Times New Roman"/>
      <w:color w:val="000000"/>
      <w:sz w:val="20"/>
      <w:szCs w:val="20"/>
      <w:u w:val="none"/>
    </w:rPr>
  </w:style>
  <w:style w:type="character" w:customStyle="1" w:styleId="26">
    <w:name w:val="font31"/>
    <w:basedOn w:val="14"/>
    <w:qFormat/>
    <w:uiPriority w:val="0"/>
    <w:rPr>
      <w:rFonts w:hint="eastAsia" w:ascii="宋体" w:hAnsi="宋体" w:eastAsia="宋体" w:cs="宋体"/>
      <w:color w:val="000000"/>
      <w:sz w:val="20"/>
      <w:szCs w:val="20"/>
      <w:u w:val="none"/>
    </w:rPr>
  </w:style>
  <w:style w:type="paragraph" w:styleId="27">
    <w:name w:val="List Paragraph"/>
    <w:basedOn w:val="1"/>
    <w:qFormat/>
    <w:uiPriority w:val="34"/>
    <w:pPr>
      <w:ind w:firstLine="420" w:firstLineChars="200"/>
    </w:pPr>
    <w:rPr>
      <w:rFonts w:ascii="仿宋" w:hAnsi="仿宋" w:eastAsia="仿宋" w:cs="Times New Roman"/>
      <w:szCs w:val="24"/>
    </w:rPr>
  </w:style>
  <w:style w:type="character" w:customStyle="1" w:styleId="28">
    <w:name w:val="fontstyle01"/>
    <w:basedOn w:val="14"/>
    <w:qFormat/>
    <w:uiPriority w:val="0"/>
    <w:rPr>
      <w:rFonts w:hint="eastAsia" w:ascii="宋体" w:hAnsi="宋体" w:eastAsia="宋体"/>
      <w:color w:val="000000"/>
      <w:sz w:val="18"/>
      <w:szCs w:val="18"/>
    </w:rPr>
  </w:style>
  <w:style w:type="character" w:customStyle="1" w:styleId="29">
    <w:name w:val="font71"/>
    <w:basedOn w:val="14"/>
    <w:qFormat/>
    <w:uiPriority w:val="0"/>
    <w:rPr>
      <w:rFonts w:hint="default" w:ascii="Times New Roman" w:hAnsi="Times New Roman" w:cs="Times New Roman"/>
      <w:color w:val="000000"/>
      <w:sz w:val="16"/>
      <w:szCs w:val="16"/>
      <w:u w:val="none"/>
    </w:rPr>
  </w:style>
  <w:style w:type="character" w:customStyle="1" w:styleId="30">
    <w:name w:val="font61"/>
    <w:basedOn w:val="14"/>
    <w:qFormat/>
    <w:uiPriority w:val="0"/>
    <w:rPr>
      <w:rFonts w:hint="eastAsia" w:ascii="宋体" w:hAnsi="宋体" w:eastAsia="宋体" w:cs="宋体"/>
      <w:color w:val="000000"/>
      <w:sz w:val="16"/>
      <w:szCs w:val="16"/>
      <w:u w:val="none"/>
    </w:rPr>
  </w:style>
  <w:style w:type="paragraph" w:customStyle="1" w:styleId="31">
    <w:name w:val="7 正文"/>
    <w:basedOn w:val="7"/>
    <w:qFormat/>
    <w:uiPriority w:val="0"/>
    <w:pPr>
      <w:spacing w:before="100" w:beforeAutospacing="1" w:after="100" w:afterAutospacing="1" w:line="300" w:lineRule="auto"/>
      <w:ind w:firstLine="480"/>
      <w:jc w:val="left"/>
    </w:pPr>
    <w:rPr>
      <w:rFonts w:ascii="Arial" w:hAnsi="Arial"/>
      <w:kern w:val="2"/>
      <w:sz w:val="24"/>
      <w:szCs w:val="24"/>
    </w:rPr>
  </w:style>
  <w:style w:type="paragraph" w:customStyle="1" w:styleId="32">
    <w:name w:val="4 四级标题"/>
    <w:basedOn w:val="1"/>
    <w:qFormat/>
    <w:uiPriority w:val="0"/>
    <w:pPr>
      <w:spacing w:before="100" w:beforeAutospacing="1" w:after="100" w:afterAutospacing="1" w:line="300" w:lineRule="auto"/>
    </w:pPr>
    <w:rPr>
      <w:rFonts w:ascii="Arial" w:hAnsi="Arial" w:eastAsiaTheme="minorEastAsia" w:cstheme="minorBidi"/>
      <w:kern w:val="2"/>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19</Pages>
  <Words>11219</Words>
  <Characters>11800</Characters>
  <Lines>7</Lines>
  <Paragraphs>2</Paragraphs>
  <TotalTime>3</TotalTime>
  <ScaleCrop>false</ScaleCrop>
  <LinksUpToDate>false</LinksUpToDate>
  <CharactersWithSpaces>11894</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2024-08-14T06:36:00Z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4BFED51567BE4D34A9E188632B9C94F4</vt:lpwstr>
  </property>
</Properties>
</file>