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李</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国家传染病智能监测预警系统设备</w:t>
      </w:r>
      <w:r>
        <w:rPr>
          <w:rFonts w:hint="eastAsia" w:ascii="Calibri" w:hAnsi="Calibri" w:eastAsia="宋体" w:cs="Times New Roman"/>
          <w:b/>
          <w:color w:val="000000"/>
          <w:sz w:val="28"/>
          <w:szCs w:val="28"/>
        </w:rPr>
        <w:t>采购项目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 xml:space="preserve">  </w:t>
            </w:r>
            <w:bookmarkStart w:id="16" w:name="_GoBack"/>
            <w:bookmarkEnd w:id="16"/>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line="360" w:lineRule="auto"/>
        <w:rPr>
          <w:rFonts w:ascii="宋体" w:hAnsi="宋体" w:eastAsia="宋体" w:cs="宋体"/>
        </w:rPr>
      </w:pPr>
      <w:bookmarkStart w:id="0" w:name="_Toc19113857"/>
      <w:bookmarkStart w:id="1" w:name="_Toc98942879"/>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项目技术/服务要求</w:t>
      </w:r>
      <w:bookmarkEnd w:id="0"/>
      <w:bookmarkEnd w:id="1"/>
    </w:p>
    <w:p>
      <w:pPr>
        <w:pStyle w:val="4"/>
        <w:spacing w:line="360" w:lineRule="auto"/>
        <w:jc w:val="center"/>
        <w:rPr>
          <w:rFonts w:hAnsi="宋体"/>
          <w:color w:val="FF0000"/>
          <w:sz w:val="24"/>
          <w:szCs w:val="24"/>
          <w:highlight w:val="yellow"/>
        </w:rPr>
      </w:pPr>
    </w:p>
    <w:p>
      <w:pPr>
        <w:pStyle w:val="4"/>
      </w:pPr>
      <w:bookmarkStart w:id="2" w:name="_Toc98942880"/>
      <w:r>
        <w:rPr>
          <w:rFonts w:hint="eastAsia"/>
        </w:rPr>
        <w:t>一、采购项目一览表</w:t>
      </w:r>
      <w:bookmarkEnd w:id="2"/>
    </w:p>
    <w:tbl>
      <w:tblPr>
        <w:tblStyle w:val="11"/>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前置服务器</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前置加密机（含CA证书）</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1台</w:t>
            </w:r>
          </w:p>
        </w:tc>
      </w:tr>
    </w:tbl>
    <w:p>
      <w:pPr>
        <w:rPr>
          <w:rFonts w:hint="eastAsia" w:ascii="Arial" w:hAnsi="Arial"/>
          <w:b/>
          <w:bCs/>
          <w:kern w:val="2"/>
          <w:sz w:val="28"/>
          <w:szCs w:val="32"/>
        </w:rPr>
      </w:pPr>
    </w:p>
    <w:p>
      <w:pPr>
        <w:rPr>
          <w:rFonts w:ascii="Arial" w:hAnsi="Arial"/>
          <w:b/>
          <w:bCs/>
          <w:kern w:val="2"/>
          <w:sz w:val="28"/>
          <w:szCs w:val="32"/>
        </w:rPr>
      </w:pPr>
      <w:r>
        <w:rPr>
          <w:rFonts w:hint="eastAsia" w:ascii="Arial" w:hAnsi="Arial"/>
          <w:b/>
          <w:bCs/>
          <w:kern w:val="2"/>
          <w:sz w:val="28"/>
          <w:szCs w:val="32"/>
          <w:lang w:eastAsia="zh-CN"/>
        </w:rPr>
        <w:t>二、</w:t>
      </w:r>
      <w:r>
        <w:rPr>
          <w:rFonts w:hint="eastAsia" w:ascii="Arial" w:hAnsi="Arial"/>
          <w:b/>
          <w:bCs/>
          <w:kern w:val="2"/>
          <w:sz w:val="28"/>
          <w:szCs w:val="32"/>
        </w:rPr>
        <w:t>技术/服务要求</w:t>
      </w:r>
    </w:p>
    <w:tbl>
      <w:tblPr>
        <w:tblStyle w:val="11"/>
        <w:tblpPr w:leftFromText="180" w:rightFromText="180" w:vertAnchor="text" w:horzAnchor="margin" w:tblpXSpec="center" w:tblpY="225"/>
        <w:tblOverlap w:val="never"/>
        <w:tblW w:w="7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6"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设备一</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前置服务器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2U机架式配置国产自研CPU≥2颗鲲鹏920主频≥2.6GHz单处理器物理核数≥32核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配置≥8条 32G DDR4内存，最大支持16 个DIMM插槽, 支持2933MHz DDR4的RDIMM内存 ，最大支持2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配置≥1块1.92 TB SATA SSD硬盘，整机最大可拓展支持16个3.5英寸/2.5英寸SAS/SATA/SSD硬盘位，可拓展支持4个后置2.5英寸NVME盘；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配置1块独立RAID卡,支持RAID 0/1//10，支持边带管理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标配≥3个PCIe 4.0 x8，可拓展支持≥8个PCIe 4.0 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板载集成8个千兆电口，配置1张双口万兆网卡（含光模块）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配置冗余电源，单电源功率≥900W， 支持扩展GPU卡或NPU卡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预装国产操作系统、传染病监测预警前置软件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8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设备二</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前置加密机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采用国家密码管理局批准的硬件芯片实现各类密码算法，保证算法的高安全性；支持密钥安全产生、安装、存储、使用、销毁以及备份恢复全生命周期的管理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至少支持三层密钥结构包括：管理密钥、用户密钥/设备密钥/密钥加密密钥、会话 密钥；支持密钥安全存储，保证关键密钥在任何时候不以明文形式出现在设备外，密钥备份文件也受到备份密钥的加密保护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支持应用实体密钥的产生，证书申请，并通过管理界面导入应用实体的签名证书、加密证书和加密密钥对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支持基于SM4算法的FPE保留格式加解密功能；支持国密双证机制（签名证书、加密证书），支持导入多级CA证书及管理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支持接口鉴权签名HMAC、MAC；支持PKCS1/ PKCS7 attach/PKCS7 detach/XML Sign 等多种格式的数字签名和验证，同时支持大文件数字签名和验证；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支持用户证书、根证书/证书链的导入、存储和验证、使用以及备份恢复等功能，支持密钥分散功能；支持国密SM2\SM3\SM4算法；支持多方协同签名、多方协同解密功能；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产品须符合疾控统一接口API《疾控报送服务器密码机接口API》；支持与全国一体化传染病智能监测平台完成相关业务互通对接测试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设备高度2U，CPU核数≥双核，内存≥8G，硬盘≥4T，千兆电口≥2（支持网口扩展）SM2密钥对产生≥13000对/秒；SM2签名≥7000次/秒；SM2验证≥2700次/秒；SM4算法加/解密≥700Mbps；SM3杂凑算法≥700Mbps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遵循GM/T 0018-2012《密码设备应用接口规范》、GM/T 0030-2014《服务器密码机技术规范》、GM-T 0059-2018《服务器密码机检测规范》等密码行业标准，符合GM/T 0028-2014《密码模块安全技术要求》安全等级第二级要求。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支持RFC8200,8201,2474,4191,4291,4443,4861,4862,6980,7217,8106标准协议，且具有良好的一致性和互通性。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6877"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与现有传染病直报系统采用的 CA 证书（北京CA）兼容互认，并提供相关证明材料。</w:t>
            </w:r>
          </w:p>
        </w:tc>
      </w:tr>
    </w:tbl>
    <w:p>
      <w:pPr>
        <w:jc w:val="left"/>
        <w:rPr>
          <w:rFonts w:hint="eastAsia"/>
          <w:b/>
          <w:color w:val="FF0000"/>
          <w:sz w:val="28"/>
          <w:szCs w:val="28"/>
          <w:lang w:eastAsia="zh-CN"/>
        </w:rPr>
      </w:pPr>
    </w:p>
    <w:p>
      <w:pPr>
        <w:rPr>
          <w:rFonts w:hint="eastAsia"/>
          <w:lang w:eastAsia="zh-CN"/>
        </w:rPr>
      </w:pPr>
      <w:r>
        <w:rPr>
          <w:rFonts w:hint="eastAsia"/>
          <w:lang w:eastAsia="zh-CN"/>
        </w:rPr>
        <w:br w:type="page"/>
      </w:r>
    </w:p>
    <w:p>
      <w:pPr>
        <w:pStyle w:val="3"/>
        <w:spacing w:line="360" w:lineRule="auto"/>
        <w:rPr>
          <w:rFonts w:ascii="宋体" w:hAnsi="宋体" w:eastAsia="宋体" w:cs="宋体"/>
          <w:sz w:val="28"/>
          <w:szCs w:val="28"/>
        </w:rPr>
      </w:pPr>
      <w:bookmarkStart w:id="3" w:name="_Toc19113858"/>
      <w:bookmarkStart w:id="4" w:name="_Toc98942882"/>
      <w:bookmarkStart w:id="5" w:name="_Toc267320049"/>
      <w:r>
        <w:rPr>
          <w:rFonts w:hint="eastAsia" w:ascii="宋体" w:hAnsi="宋体" w:eastAsia="宋体" w:cs="宋体"/>
        </w:rPr>
        <w:t>第三篇 项目商务要求</w:t>
      </w:r>
      <w:bookmarkEnd w:id="3"/>
      <w:bookmarkEnd w:id="4"/>
      <w:bookmarkStart w:id="6" w:name="_Toc505608529"/>
    </w:p>
    <w:bookmarkEnd w:id="5"/>
    <w:bookmarkEnd w:id="6"/>
    <w:p>
      <w:pPr>
        <w:pStyle w:val="4"/>
        <w:spacing w:line="360" w:lineRule="auto"/>
      </w:pPr>
      <w:bookmarkStart w:id="7" w:name="_Toc98942883"/>
      <w:r>
        <w:rPr>
          <w:rFonts w:hint="eastAsia"/>
        </w:rPr>
        <w:t>一、交货期、交货地点及验收方式</w:t>
      </w:r>
      <w:bookmarkEnd w:id="7"/>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rPr>
      </w:pPr>
      <w:r>
        <w:rPr>
          <w:rFonts w:hint="eastAsia"/>
          <w:sz w:val="24"/>
        </w:rPr>
        <w:t>中标人应在采购合同签订后</w:t>
      </w:r>
      <w:r>
        <w:rPr>
          <w:rFonts w:hint="eastAsia"/>
          <w:sz w:val="24"/>
          <w:highlight w:val="yellow"/>
        </w:rPr>
        <w:t xml:space="preserve">  30   </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1.5.投标人提供的货物未达到竞争性比选文件规定要求，且对采购人造成损失的，由投标人承担一切责任，并赔偿所造成的损失。</w:t>
      </w:r>
    </w:p>
    <w:p>
      <w:pPr>
        <w:snapToGrid w:val="0"/>
        <w:spacing w:line="400" w:lineRule="exact"/>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1.7.产品包装材料由投标方自行处置。</w:t>
      </w:r>
    </w:p>
    <w:p>
      <w:pPr>
        <w:pStyle w:val="4"/>
      </w:pPr>
      <w:bookmarkStart w:id="8" w:name="_Toc505608530"/>
      <w:bookmarkStart w:id="9" w:name="_Toc98942884"/>
      <w:bookmarkStart w:id="10" w:name="_Toc267320050"/>
      <w:r>
        <w:rPr>
          <w:rFonts w:hint="eastAsia"/>
        </w:rPr>
        <w:t>二、报价要求</w:t>
      </w:r>
      <w:bookmarkEnd w:id="8"/>
      <w:bookmarkEnd w:id="9"/>
    </w:p>
    <w:p>
      <w:pPr>
        <w:snapToGrid w:val="0"/>
        <w:spacing w:line="360" w:lineRule="auto"/>
        <w:ind w:firstLine="480" w:firstLineChars="200"/>
        <w:rPr>
          <w:sz w:val="24"/>
        </w:rPr>
      </w:pPr>
      <w:bookmarkStart w:id="11" w:name="_Toc505608531"/>
      <w:r>
        <w:rPr>
          <w:rFonts w:hint="eastAsia"/>
          <w:sz w:val="24"/>
        </w:rPr>
        <w:t>2.1.本次报价须为人民币报价，包含：产品价、运输费（含装卸费）、保险费、安装费、调试费、售后服务费、税费、培训费等货到采购人指定地点的所有费用。</w:t>
      </w:r>
    </w:p>
    <w:p>
      <w:pPr>
        <w:pStyle w:val="4"/>
      </w:pPr>
      <w:bookmarkStart w:id="12" w:name="_Toc98942885"/>
      <w:r>
        <w:rPr>
          <w:rFonts w:hint="eastAsia"/>
        </w:rPr>
        <w:t>三、质量保证及售后服务</w:t>
      </w:r>
      <w:bookmarkEnd w:id="10"/>
      <w:bookmarkEnd w:id="11"/>
      <w:bookmarkEnd w:id="12"/>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1.投标人应明确承诺：其投标产品质量保证期达到</w:t>
      </w:r>
      <w:r>
        <w:rPr>
          <w:rFonts w:hint="eastAsia" w:hAnsi="宋体" w:cs="宋体"/>
          <w:sz w:val="24"/>
          <w:szCs w:val="24"/>
          <w:u w:val="single"/>
        </w:rPr>
        <w:t xml:space="preserve">   </w:t>
      </w:r>
      <w:r>
        <w:rPr>
          <w:rFonts w:hint="eastAsia" w:hAnsi="宋体" w:cs="宋体"/>
          <w:sz w:val="24"/>
          <w:szCs w:val="24"/>
          <w:highlight w:val="yellow"/>
          <w:u w:val="single"/>
        </w:rPr>
        <w:t>三</w:t>
      </w:r>
      <w:r>
        <w:rPr>
          <w:rFonts w:hint="eastAsia" w:hAnsi="宋体" w:cs="宋体"/>
          <w:sz w:val="24"/>
          <w:szCs w:val="24"/>
          <w:u w:val="single"/>
        </w:rPr>
        <w:t xml:space="preserve">  </w:t>
      </w:r>
      <w:r>
        <w:rPr>
          <w:rFonts w:hint="eastAsia" w:hAnsi="宋体" w:cs="宋体"/>
          <w:sz w:val="24"/>
          <w:szCs w:val="24"/>
        </w:rPr>
        <w:t>年（耗材及易损件除外）。</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4.投标产品由制造商（指产品生产制造商，或其负责销售、售后服务机构，以下同）负责标准售后服务的，应当在响应文件中予以明确说明,并附制造商售后服务承诺。</w:t>
      </w:r>
    </w:p>
    <w:p>
      <w:pPr>
        <w:snapToGrid w:val="0"/>
        <w:spacing w:line="360" w:lineRule="auto"/>
        <w:ind w:firstLine="480" w:firstLineChars="200"/>
        <w:rPr>
          <w:rFonts w:hAnsi="宋体" w:cs="宋体"/>
          <w:sz w:val="24"/>
          <w:szCs w:val="24"/>
        </w:rPr>
      </w:pPr>
      <w:r>
        <w:rPr>
          <w:rFonts w:hint="eastAsia" w:hAnsi="宋体" w:cs="宋体"/>
          <w:sz w:val="24"/>
          <w:szCs w:val="24"/>
        </w:rPr>
        <w:t>3.1.5.投标人提供的商品必须是原装封装的全新出厂产品，完全符合国家有关技术标准、医疗卫生行业标准、产品质量标准。</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rPr>
      </w:pPr>
      <w:r>
        <w:rPr>
          <w:rFonts w:hint="eastAsia"/>
          <w:sz w:val="24"/>
        </w:rPr>
        <w:t>3.2.2.3</w:t>
      </w:r>
      <w:r>
        <w:rPr>
          <w:sz w:val="24"/>
        </w:rPr>
        <w:t>质保期后终身免费上门维修，只收取配件费。</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4"/>
      </w:pPr>
      <w:bookmarkStart w:id="13" w:name="_Toc98942886"/>
      <w:bookmarkStart w:id="14" w:name="_Toc267320051"/>
      <w:bookmarkStart w:id="15" w:name="_Toc505608532"/>
      <w:r>
        <w:rPr>
          <w:rFonts w:hint="eastAsia"/>
        </w:rPr>
        <w:t>四、付款方式</w:t>
      </w:r>
      <w:bookmarkEnd w:id="13"/>
      <w:bookmarkEnd w:id="14"/>
      <w:bookmarkEnd w:id="15"/>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1.验收合格后，收到乙方开具合同全额发票后30个工作日内，甲方支付</w:t>
      </w:r>
      <w:r>
        <w:rPr>
          <w:rFonts w:hint="eastAsia" w:hAnsi="宋体" w:cs="宋体"/>
          <w:sz w:val="24"/>
          <w:szCs w:val="24"/>
          <w:lang w:eastAsia="zh-Hans"/>
        </w:rPr>
        <w:t>合同金额的</w:t>
      </w:r>
      <w:r>
        <w:rPr>
          <w:rFonts w:hint="eastAsia" w:hAnsi="宋体" w:cs="宋体"/>
          <w:sz w:val="24"/>
          <w:szCs w:val="24"/>
        </w:rPr>
        <w:t>95</w:t>
      </w:r>
      <w:r>
        <w:rPr>
          <w:rFonts w:hAnsi="宋体" w:cs="宋体"/>
          <w:sz w:val="24"/>
          <w:szCs w:val="24"/>
          <w:lang w:eastAsia="zh-Hans"/>
        </w:rPr>
        <w:t>%</w:t>
      </w:r>
      <w:r>
        <w:rPr>
          <w:rFonts w:hint="eastAsia" w:hAnsi="宋体" w:cs="宋体"/>
          <w:sz w:val="24"/>
          <w:szCs w:val="24"/>
        </w:rPr>
        <w:t>；</w:t>
      </w:r>
    </w:p>
    <w:p>
      <w:pPr>
        <w:pStyle w:val="2"/>
        <w:ind w:left="0" w:leftChars="0" w:firstLine="480" w:firstLineChars="200"/>
        <w:rPr>
          <w:rFonts w:hint="eastAsia"/>
          <w:lang w:eastAsia="zh-CN"/>
        </w:rPr>
      </w:pPr>
      <w:r>
        <w:rPr>
          <w:rFonts w:hint="eastAsia" w:hAnsi="宋体" w:cs="宋体"/>
          <w:sz w:val="24"/>
          <w:szCs w:val="24"/>
        </w:rPr>
        <w:t>2.</w:t>
      </w:r>
      <w:r>
        <w:rPr>
          <w:rFonts w:hint="eastAsia" w:hAnsi="宋体" w:cs="宋体"/>
          <w:sz w:val="24"/>
          <w:szCs w:val="24"/>
          <w:lang w:eastAsia="zh-Hans"/>
        </w:rPr>
        <w:t>乙方在质保期满且维保义务妥善履行完毕后，向甲方提交书面付款申请，经甲方确认付款金额后，乙方再次提交确认金额的书面付款申请，甲方自收到该申请书后</w:t>
      </w:r>
      <w:r>
        <w:rPr>
          <w:rFonts w:hint="eastAsia" w:hAnsi="宋体" w:cs="宋体"/>
          <w:sz w:val="24"/>
          <w:szCs w:val="24"/>
        </w:rPr>
        <w:t>30</w:t>
      </w:r>
      <w:r>
        <w:rPr>
          <w:rFonts w:hint="eastAsia" w:hAnsi="宋体" w:cs="宋体"/>
          <w:sz w:val="24"/>
          <w:szCs w:val="24"/>
          <w:lang w:eastAsia="zh-Hans"/>
        </w:rPr>
        <w:t>个工作日内，支付剩余款项。</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3446615A"/>
    <w:rsid w:val="4AFA62A3"/>
    <w:rsid w:val="5E514E73"/>
    <w:rsid w:val="60701C05"/>
    <w:rsid w:val="64C50CB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annotation text"/>
    <w:basedOn w:val="1"/>
    <w:qFormat/>
    <w:uiPriority w:val="0"/>
    <w:pPr>
      <w:jc w:val="left"/>
    </w:pPr>
  </w:style>
  <w:style w:type="paragraph" w:styleId="7">
    <w:name w:val="Body Text"/>
    <w:basedOn w:val="1"/>
    <w:link w:val="24"/>
    <w:unhideWhenUsed/>
    <w:qFormat/>
    <w:uiPriority w:val="99"/>
    <w:pPr>
      <w:snapToGrid w:val="0"/>
      <w:spacing w:line="440" w:lineRule="exact"/>
    </w:pPr>
    <w:rPr>
      <w:rFonts w:ascii="Times New Roman" w:hAnsi="Times New Roman" w:eastAsia="宋体" w:cs="Times New Roman"/>
      <w:kern w:val="0"/>
      <w:sz w:val="20"/>
      <w:szCs w:val="20"/>
    </w:rPr>
  </w:style>
  <w:style w:type="paragraph" w:styleId="8">
    <w:name w:val="Plain Text"/>
    <w:basedOn w:val="1"/>
    <w:link w:val="23"/>
    <w:qFormat/>
    <w:uiPriority w:val="0"/>
    <w:rPr>
      <w:rFonts w:ascii="宋体" w:hAnsi="Courier New" w:eastAsia="宋体" w:cs="Times New Roman"/>
      <w:szCs w:val="20"/>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正文文本缩进 Char"/>
    <w:basedOn w:val="13"/>
    <w:link w:val="2"/>
    <w:qFormat/>
    <w:uiPriority w:val="0"/>
    <w:rPr>
      <w:rFonts w:ascii="宋体" w:hAnsi="宋体" w:eastAsia="宋体" w:cs="Times New Roman"/>
      <w:sz w:val="28"/>
      <w:szCs w:val="24"/>
    </w:rPr>
  </w:style>
  <w:style w:type="character" w:customStyle="1" w:styleId="20">
    <w:name w:val="正文文本缩进 Char1"/>
    <w:basedOn w:val="13"/>
    <w:link w:val="2"/>
    <w:semiHidden/>
    <w:qFormat/>
    <w:uiPriority w:val="99"/>
  </w:style>
  <w:style w:type="character" w:customStyle="1" w:styleId="21">
    <w:name w:val="font11"/>
    <w:basedOn w:val="13"/>
    <w:qFormat/>
    <w:uiPriority w:val="0"/>
    <w:rPr>
      <w:rFonts w:hint="eastAsia" w:ascii="宋体" w:hAnsi="宋体" w:eastAsia="宋体" w:cs="宋体"/>
      <w:color w:val="000000"/>
      <w:sz w:val="24"/>
      <w:szCs w:val="24"/>
      <w:u w:val="none"/>
    </w:rPr>
  </w:style>
  <w:style w:type="character" w:customStyle="1" w:styleId="22">
    <w:name w:val="font21"/>
    <w:basedOn w:val="13"/>
    <w:qFormat/>
    <w:uiPriority w:val="0"/>
    <w:rPr>
      <w:rFonts w:hint="eastAsia" w:ascii="宋体" w:hAnsi="宋体" w:eastAsia="宋体" w:cs="宋体"/>
      <w:b/>
      <w:bCs/>
      <w:color w:val="000000"/>
      <w:sz w:val="24"/>
      <w:szCs w:val="24"/>
      <w:u w:val="none"/>
    </w:rPr>
  </w:style>
  <w:style w:type="character" w:customStyle="1" w:styleId="23">
    <w:name w:val="纯文本 Char"/>
    <w:basedOn w:val="13"/>
    <w:link w:val="8"/>
    <w:qFormat/>
    <w:uiPriority w:val="0"/>
    <w:rPr>
      <w:rFonts w:ascii="宋体" w:hAnsi="Courier New" w:eastAsia="宋体" w:cs="Times New Roman"/>
      <w:szCs w:val="20"/>
    </w:rPr>
  </w:style>
  <w:style w:type="character" w:customStyle="1" w:styleId="24">
    <w:name w:val="正文文本 Char"/>
    <w:basedOn w:val="13"/>
    <w:link w:val="7"/>
    <w:qFormat/>
    <w:uiPriority w:val="99"/>
    <w:rPr>
      <w:rFonts w:ascii="Times New Roman" w:hAnsi="Times New Roman" w:eastAsia="宋体" w:cs="Times New Roman"/>
      <w:kern w:val="0"/>
      <w:sz w:val="20"/>
      <w:szCs w:val="20"/>
    </w:rPr>
  </w:style>
  <w:style w:type="character" w:customStyle="1" w:styleId="25">
    <w:name w:val="font41"/>
    <w:basedOn w:val="13"/>
    <w:qFormat/>
    <w:uiPriority w:val="0"/>
    <w:rPr>
      <w:rFonts w:hint="default" w:ascii="Times New Roman" w:hAnsi="Times New Roman" w:cs="Times New Roman"/>
      <w:color w:val="000000"/>
      <w:sz w:val="20"/>
      <w:szCs w:val="20"/>
      <w:u w:val="none"/>
    </w:rPr>
  </w:style>
  <w:style w:type="character" w:customStyle="1" w:styleId="26">
    <w:name w:val="font31"/>
    <w:basedOn w:val="13"/>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仿宋" w:hAnsi="仿宋" w:eastAsia="仿宋" w:cs="Times New Roman"/>
      <w:szCs w:val="24"/>
    </w:rPr>
  </w:style>
  <w:style w:type="character" w:customStyle="1" w:styleId="28">
    <w:name w:val="fontstyle01"/>
    <w:basedOn w:val="13"/>
    <w:qFormat/>
    <w:uiPriority w:val="0"/>
    <w:rPr>
      <w:rFonts w:hint="eastAsia" w:ascii="宋体" w:hAnsi="宋体" w:eastAsia="宋体"/>
      <w:color w:val="000000"/>
      <w:sz w:val="18"/>
      <w:szCs w:val="18"/>
    </w:rPr>
  </w:style>
  <w:style w:type="character" w:customStyle="1" w:styleId="29">
    <w:name w:val="font71"/>
    <w:basedOn w:val="13"/>
    <w:qFormat/>
    <w:uiPriority w:val="0"/>
    <w:rPr>
      <w:rFonts w:hint="default" w:ascii="Times New Roman" w:hAnsi="Times New Roman" w:cs="Times New Roman"/>
      <w:color w:val="000000"/>
      <w:sz w:val="16"/>
      <w:szCs w:val="16"/>
      <w:u w:val="none"/>
    </w:rPr>
  </w:style>
  <w:style w:type="character" w:customStyle="1" w:styleId="30">
    <w:name w:val="font6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2918</Words>
  <Characters>3418</Characters>
  <Lines>7</Lines>
  <Paragraphs>2</Paragraphs>
  <TotalTime>1</TotalTime>
  <ScaleCrop>false</ScaleCrop>
  <LinksUpToDate>false</LinksUpToDate>
  <CharactersWithSpaces>3509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2024-08-01T00:44:28Z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