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杨</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88602363</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学生双创培训服务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），报价应为完成该项目所需的培训费、指导费、咨询费、视频制作费、PPT制作费、计划书制作费，交通费等所有费用。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spacing w:line="360" w:lineRule="auto"/>
        <w:rPr>
          <w:rFonts w:hint="eastAsia" w:ascii="宋体" w:hAnsi="宋体" w:eastAsia="宋体" w:cs="宋体"/>
          <w:color w:val="auto"/>
        </w:rPr>
      </w:pPr>
      <w:r>
        <w:rPr>
          <w:rFonts w:hint="eastAsia" w:ascii="宋体" w:hAnsi="宋体" w:eastAsia="宋体" w:cs="宋体"/>
          <w:color w:val="auto"/>
          <w:lang w:eastAsia="zh-CN"/>
        </w:rPr>
        <w:t>第一篇</w:t>
      </w:r>
      <w:r>
        <w:rPr>
          <w:rFonts w:hint="eastAsia" w:ascii="宋体" w:hAnsi="宋体" w:eastAsia="宋体" w:cs="宋体"/>
          <w:color w:val="auto"/>
          <w:lang w:val="en-US" w:eastAsia="zh-CN"/>
        </w:rPr>
        <w:t xml:space="preserve"> </w:t>
      </w:r>
      <w:r>
        <w:rPr>
          <w:rFonts w:hint="eastAsia" w:ascii="宋体" w:hAnsi="宋体" w:eastAsia="宋体" w:cs="宋体"/>
          <w:color w:val="auto"/>
        </w:rPr>
        <w:t>项目技术/服务要求</w:t>
      </w:r>
    </w:p>
    <w:p>
      <w:pPr>
        <w:rPr>
          <w:color w:val="auto"/>
        </w:rPr>
      </w:pPr>
    </w:p>
    <w:p>
      <w:pPr>
        <w:pStyle w:val="4"/>
        <w:rPr>
          <w:color w:val="auto"/>
        </w:rPr>
      </w:pPr>
      <w:bookmarkStart w:id="0" w:name="_Toc98942880"/>
      <w:r>
        <w:rPr>
          <w:rFonts w:hint="eastAsia"/>
          <w:color w:val="auto"/>
        </w:rPr>
        <w:t>一、采购项目一览表</w:t>
      </w:r>
      <w:bookmarkEnd w:id="0"/>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b/>
                <w:color w:val="auto"/>
                <w:sz w:val="21"/>
                <w:szCs w:val="21"/>
              </w:rPr>
            </w:pPr>
            <w:r>
              <w:rPr>
                <w:rFonts w:hint="eastAsia" w:ascii="方正仿宋_GBK" w:hAnsi="宋体" w:eastAsia="方正仿宋_GBK"/>
                <w:b/>
                <w:color w:val="auto"/>
                <w:sz w:val="21"/>
                <w:szCs w:val="21"/>
              </w:rPr>
              <w:t>序</w:t>
            </w:r>
            <w:r>
              <w:rPr>
                <w:rFonts w:hint="eastAsia" w:hAnsi="宋体" w:cs="宋体"/>
                <w:b/>
                <w:color w:val="auto"/>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auto"/>
                <w:sz w:val="21"/>
                <w:szCs w:val="21"/>
              </w:rPr>
            </w:pPr>
            <w:r>
              <w:rPr>
                <w:rFonts w:hint="eastAsia" w:ascii="方正仿宋_GBK" w:eastAsia="方正仿宋_GBK"/>
                <w:color w:val="auto"/>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olor w:val="auto"/>
                <w:sz w:val="21"/>
                <w:szCs w:val="21"/>
              </w:rPr>
            </w:pPr>
            <w:bookmarkStart w:id="1" w:name="OLE_LINK17"/>
            <w:r>
              <w:rPr>
                <w:rFonts w:hint="eastAsia" w:ascii="仿宋" w:hAnsi="仿宋" w:eastAsia="仿宋" w:cs="宋体"/>
                <w:color w:val="auto"/>
                <w:sz w:val="24"/>
                <w:szCs w:val="24"/>
              </w:rPr>
              <w:t>学生双创培训服务</w:t>
            </w:r>
            <w:bookmarkEnd w:id="1"/>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color w:val="auto"/>
                <w:sz w:val="21"/>
                <w:szCs w:val="21"/>
              </w:rPr>
            </w:pPr>
            <w:r>
              <w:rPr>
                <w:rFonts w:hint="eastAsia" w:hAnsi="宋体" w:cs="宋体"/>
                <w:color w:val="auto"/>
                <w:sz w:val="21"/>
                <w:szCs w:val="21"/>
              </w:rPr>
              <w:t>1项</w:t>
            </w:r>
          </w:p>
        </w:tc>
      </w:tr>
    </w:tbl>
    <w:p>
      <w:pPr>
        <w:rPr>
          <w:color w:val="auto"/>
        </w:rPr>
      </w:pPr>
    </w:p>
    <w:p>
      <w:pPr>
        <w:pStyle w:val="4"/>
        <w:rPr>
          <w:color w:val="auto"/>
        </w:rPr>
      </w:pPr>
      <w:bookmarkStart w:id="2" w:name="_Toc98942881"/>
      <w:r>
        <w:rPr>
          <w:rFonts w:hint="eastAsia"/>
          <w:color w:val="auto"/>
        </w:rPr>
        <w:t>二、采购项目技术/服务要求</w:t>
      </w:r>
      <w:bookmarkEnd w:id="2"/>
    </w:p>
    <w:tbl>
      <w:tblPr>
        <w:tblStyle w:val="10"/>
        <w:tblpPr w:leftFromText="180" w:rightFromText="180" w:vertAnchor="text" w:horzAnchor="margin" w:tblpXSpec="center" w:tblpY="225"/>
        <w:tblOverlap w:val="never"/>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928" w:type="dxa"/>
            <w:vAlign w:val="center"/>
          </w:tcPr>
          <w:p>
            <w:pPr>
              <w:jc w:val="center"/>
              <w:rPr>
                <w:rFonts w:hint="eastAsia" w:hAnsi="宋体"/>
                <w:color w:val="auto"/>
                <w:sz w:val="24"/>
                <w:szCs w:val="24"/>
              </w:rPr>
            </w:pPr>
            <w:r>
              <w:rPr>
                <w:rFonts w:hint="eastAsia" w:hAnsi="宋体"/>
                <w:color w:val="auto"/>
                <w:sz w:val="24"/>
                <w:szCs w:val="24"/>
              </w:rPr>
              <w:t>1</w:t>
            </w:r>
          </w:p>
        </w:tc>
        <w:tc>
          <w:tcPr>
            <w:tcW w:w="7891" w:type="dxa"/>
            <w:vAlign w:val="center"/>
          </w:tcPr>
          <w:p>
            <w:pPr>
              <w:pStyle w:val="29"/>
              <w:ind w:firstLine="480"/>
              <w:rPr>
                <w:rFonts w:hint="eastAsia" w:ascii="仿宋" w:hAnsi="仿宋" w:eastAsia="仿宋" w:cs="仿宋"/>
                <w:color w:val="auto"/>
                <w:sz w:val="24"/>
                <w:szCs w:val="28"/>
              </w:rPr>
            </w:pPr>
            <w:r>
              <w:rPr>
                <w:rFonts w:hint="eastAsia" w:ascii="仿宋" w:hAnsi="仿宋" w:eastAsia="仿宋" w:cs="仿宋"/>
                <w:color w:val="auto"/>
                <w:sz w:val="24"/>
                <w:szCs w:val="28"/>
              </w:rPr>
              <w:t>第一阶段：中国国际大学生创新大赛（2024）重庆市市赛阶段</w:t>
            </w:r>
          </w:p>
          <w:p>
            <w:pPr>
              <w:pStyle w:val="29"/>
              <w:ind w:firstLine="480"/>
              <w:rPr>
                <w:rFonts w:hint="eastAsia" w:ascii="仿宋" w:hAnsi="仿宋" w:eastAsia="仿宋" w:cs="仿宋"/>
                <w:color w:val="auto"/>
                <w:sz w:val="24"/>
                <w:szCs w:val="28"/>
              </w:rPr>
            </w:pPr>
            <w:r>
              <w:rPr>
                <w:rFonts w:hint="eastAsia" w:ascii="仿宋" w:hAnsi="仿宋" w:eastAsia="仿宋" w:cs="仿宋"/>
                <w:color w:val="auto"/>
                <w:sz w:val="24"/>
                <w:szCs w:val="28"/>
              </w:rPr>
              <w:t>服务内容需包括：</w:t>
            </w:r>
            <w:r>
              <w:rPr>
                <w:rFonts w:hint="eastAsia" w:ascii="仿宋" w:hAnsi="仿宋" w:eastAsia="仿宋" w:cs="仿宋"/>
                <w:color w:val="auto"/>
                <w:szCs w:val="21"/>
                <w:lang w:bidi="ar"/>
              </w:rPr>
              <w:t>创业计划大赛总体认知、</w:t>
            </w:r>
            <w:r>
              <w:rPr>
                <w:rFonts w:hint="eastAsia" w:ascii="仿宋" w:hAnsi="仿宋" w:eastAsia="仿宋" w:cs="仿宋"/>
                <w:color w:val="auto"/>
                <w:sz w:val="24"/>
                <w:szCs w:val="28"/>
              </w:rPr>
              <w:t>商业模式的设计与论证、商业计划书的撰写培训和指导，参赛PPT的撰写及修改指导，创业大赛答辩筹备与实战指导。要通过线上+线下相结合的方式开展服务。</w:t>
            </w:r>
          </w:p>
          <w:p>
            <w:pPr>
              <w:pStyle w:val="29"/>
              <w:ind w:firstLine="480"/>
              <w:rPr>
                <w:rFonts w:hint="eastAsia" w:ascii="仿宋" w:hAnsi="仿宋" w:eastAsia="仿宋" w:cs="仿宋"/>
                <w:color w:val="auto"/>
                <w:sz w:val="24"/>
                <w:szCs w:val="28"/>
              </w:rPr>
            </w:pPr>
            <w:r>
              <w:rPr>
                <w:rFonts w:hint="eastAsia" w:ascii="仿宋" w:hAnsi="仿宋" w:eastAsia="仿宋" w:cs="仿宋"/>
                <w:color w:val="auto"/>
                <w:sz w:val="24"/>
                <w:szCs w:val="28"/>
              </w:rPr>
              <w:t>同时需提供配套的参赛PPT制作服务。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928" w:type="dxa"/>
            <w:vAlign w:val="center"/>
          </w:tcPr>
          <w:p>
            <w:pPr>
              <w:jc w:val="center"/>
              <w:rPr>
                <w:rFonts w:hint="eastAsia" w:hAnsi="宋体"/>
                <w:color w:val="auto"/>
                <w:sz w:val="24"/>
                <w:szCs w:val="24"/>
              </w:rPr>
            </w:pPr>
            <w:r>
              <w:rPr>
                <w:rFonts w:hint="eastAsia" w:hAnsi="宋体"/>
                <w:color w:val="auto"/>
                <w:sz w:val="24"/>
                <w:szCs w:val="24"/>
              </w:rPr>
              <w:t>2</w:t>
            </w:r>
          </w:p>
        </w:tc>
        <w:tc>
          <w:tcPr>
            <w:tcW w:w="7891" w:type="dxa"/>
            <w:vAlign w:val="center"/>
          </w:tcPr>
          <w:p>
            <w:pPr>
              <w:pStyle w:val="29"/>
              <w:ind w:firstLine="480"/>
              <w:rPr>
                <w:rFonts w:hint="eastAsia" w:ascii="仿宋" w:hAnsi="仿宋" w:eastAsia="仿宋" w:cs="仿宋"/>
                <w:color w:val="auto"/>
                <w:sz w:val="24"/>
                <w:szCs w:val="28"/>
              </w:rPr>
            </w:pPr>
            <w:r>
              <w:rPr>
                <w:rFonts w:hint="eastAsia" w:ascii="仿宋" w:hAnsi="仿宋" w:eastAsia="仿宋" w:cs="仿宋"/>
                <w:color w:val="auto"/>
                <w:sz w:val="24"/>
                <w:szCs w:val="28"/>
              </w:rPr>
              <w:t>第二阶段：中国国际大学生创新大赛（2024）国赛阶段</w:t>
            </w:r>
          </w:p>
          <w:p>
            <w:pPr>
              <w:pStyle w:val="29"/>
              <w:ind w:firstLine="480"/>
              <w:rPr>
                <w:rFonts w:hint="eastAsia" w:ascii="仿宋" w:hAnsi="仿宋" w:eastAsia="仿宋" w:cs="仿宋"/>
                <w:color w:val="auto"/>
                <w:sz w:val="24"/>
                <w:szCs w:val="28"/>
              </w:rPr>
            </w:pPr>
            <w:r>
              <w:rPr>
                <w:rFonts w:hint="eastAsia" w:ascii="仿宋" w:hAnsi="仿宋" w:eastAsia="仿宋" w:cs="仿宋"/>
                <w:color w:val="auto"/>
                <w:sz w:val="24"/>
                <w:szCs w:val="28"/>
              </w:rPr>
              <w:t>如本院所提报项目晋级国赛，则增加第二阶段的培训服务。反之第一阶段服务完毕即结束本次服务。</w:t>
            </w:r>
          </w:p>
          <w:p>
            <w:pPr>
              <w:pStyle w:val="29"/>
              <w:ind w:firstLine="480"/>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第二阶段服务内容</w:t>
            </w:r>
            <w:r>
              <w:rPr>
                <w:rFonts w:hint="eastAsia" w:ascii="仿宋" w:hAnsi="仿宋" w:eastAsia="仿宋" w:cs="仿宋"/>
                <w:color w:val="auto"/>
                <w:sz w:val="24"/>
                <w:szCs w:val="28"/>
              </w:rPr>
              <w:t>服务内容需包括：中国国际大学生创新大赛（2024）国赛商业计划书修改指导，国赛网评及路演PPT撰写及修改指导，国赛现场赛路演及答辩技巧指导，国赛现场赛路演及答辩实战模拟培训。</w:t>
            </w:r>
          </w:p>
          <w:p>
            <w:pPr>
              <w:pStyle w:val="29"/>
              <w:ind w:firstLine="480"/>
              <w:rPr>
                <w:rFonts w:hint="eastAsia" w:ascii="仿宋" w:hAnsi="仿宋" w:eastAsia="仿宋" w:cs="仿宋"/>
                <w:color w:val="auto"/>
                <w:sz w:val="24"/>
                <w:szCs w:val="28"/>
              </w:rPr>
            </w:pPr>
            <w:r>
              <w:rPr>
                <w:rFonts w:hint="eastAsia" w:ascii="仿宋" w:hAnsi="仿宋" w:eastAsia="仿宋" w:cs="仿宋"/>
                <w:color w:val="auto"/>
                <w:sz w:val="24"/>
                <w:szCs w:val="28"/>
              </w:rPr>
              <w:t>同时需提供配套的商业计划书制作服务，国赛网评及路演PPT制作服务，国赛VCR剪辑制作服务。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28" w:type="dxa"/>
            <w:vAlign w:val="center"/>
          </w:tcPr>
          <w:p>
            <w:pPr>
              <w:jc w:val="center"/>
              <w:rPr>
                <w:rFonts w:hint="eastAsia" w:hAnsi="宋体"/>
                <w:color w:val="auto"/>
                <w:sz w:val="24"/>
                <w:szCs w:val="24"/>
              </w:rPr>
            </w:pPr>
            <w:r>
              <w:rPr>
                <w:rFonts w:hAnsi="宋体"/>
                <w:color w:val="auto"/>
                <w:sz w:val="24"/>
                <w:szCs w:val="24"/>
              </w:rPr>
              <w:t>3</w:t>
            </w:r>
          </w:p>
        </w:tc>
        <w:tc>
          <w:tcPr>
            <w:tcW w:w="7891" w:type="dxa"/>
            <w:vAlign w:val="center"/>
          </w:tcPr>
          <w:p>
            <w:pPr>
              <w:pStyle w:val="29"/>
              <w:ind w:firstLine="480"/>
              <w:rPr>
                <w:rFonts w:hint="eastAsia" w:ascii="仿宋" w:hAnsi="仿宋" w:eastAsia="仿宋" w:cs="仿宋"/>
                <w:b/>
                <w:bCs/>
                <w:color w:val="auto"/>
                <w:sz w:val="24"/>
                <w:szCs w:val="28"/>
                <w:lang w:eastAsia="zh-CN"/>
              </w:rPr>
            </w:pPr>
            <w:r>
              <w:rPr>
                <w:rFonts w:hint="eastAsia" w:ascii="仿宋" w:hAnsi="仿宋" w:eastAsia="仿宋" w:cs="仿宋"/>
                <w:color w:val="auto"/>
                <w:sz w:val="24"/>
                <w:szCs w:val="28"/>
              </w:rPr>
              <w:t>需安排多名双创相关专家全程跟进各级别的赛事</w:t>
            </w:r>
            <w:r>
              <w:rPr>
                <w:rFonts w:hint="eastAsia" w:ascii="仿宋" w:hAnsi="仿宋" w:eastAsia="仿宋" w:cs="仿宋"/>
                <w:b/>
                <w:bCs/>
                <w:color w:val="auto"/>
                <w:sz w:val="24"/>
                <w:szCs w:val="28"/>
              </w:rPr>
              <w:t>（校赛、市赛网评、市赛现场赛乃至国赛）</w:t>
            </w:r>
            <w:r>
              <w:rPr>
                <w:rFonts w:hint="eastAsia" w:ascii="仿宋" w:hAnsi="仿宋" w:eastAsia="仿宋" w:cs="仿宋"/>
                <w:color w:val="auto"/>
                <w:sz w:val="24"/>
                <w:szCs w:val="28"/>
              </w:rPr>
              <w:t>，指导学生项目不断完善。</w:t>
            </w:r>
          </w:p>
        </w:tc>
      </w:tr>
    </w:tbl>
    <w:p>
      <w:pPr>
        <w:rPr>
          <w:color w:val="auto"/>
        </w:rPr>
      </w:pPr>
      <w:bookmarkStart w:id="3" w:name="_Toc98942882"/>
      <w:bookmarkStart w:id="4" w:name="_Toc19113858"/>
      <w:bookmarkStart w:id="5" w:name="_Toc267320049"/>
    </w:p>
    <w:p>
      <w:pPr>
        <w:rPr>
          <w:rFonts w:hint="eastAsia" w:hAnsi="Times New Roman" w:cs="Times New Roman"/>
          <w:color w:val="auto"/>
          <w:sz w:val="34"/>
          <w:szCs w:val="21"/>
          <w:lang w:val="zh-CN"/>
        </w:rPr>
      </w:pPr>
    </w:p>
    <w:p>
      <w:pPr>
        <w:pStyle w:val="4"/>
        <w:rPr>
          <w:rFonts w:hint="eastAsia" w:hAnsi="宋体" w:cs="宋体"/>
          <w:color w:val="auto"/>
          <w:lang w:val="zh-CN"/>
        </w:rPr>
      </w:pPr>
    </w:p>
    <w:p>
      <w:pPr>
        <w:rPr>
          <w:rFonts w:hint="eastAsia" w:ascii="宋体" w:hAnsi="宋体" w:eastAsia="宋体" w:cs="宋体"/>
          <w:color w:val="auto"/>
        </w:rPr>
      </w:pPr>
      <w:r>
        <w:rPr>
          <w:rFonts w:hint="eastAsia" w:ascii="宋体" w:hAnsi="宋体" w:eastAsia="宋体" w:cs="宋体"/>
          <w:color w:val="auto"/>
        </w:rPr>
        <w:br w:type="page"/>
      </w:r>
    </w:p>
    <w:p>
      <w:pPr>
        <w:pStyle w:val="3"/>
        <w:spacing w:line="360" w:lineRule="auto"/>
        <w:rPr>
          <w:rFonts w:hint="eastAsia" w:ascii="宋体" w:hAnsi="宋体" w:eastAsia="宋体" w:cs="宋体"/>
          <w:color w:val="auto"/>
          <w:sz w:val="28"/>
          <w:szCs w:val="28"/>
        </w:rPr>
      </w:pPr>
      <w:r>
        <w:rPr>
          <w:rFonts w:hint="eastAsia" w:ascii="宋体" w:hAnsi="宋体" w:eastAsia="宋体" w:cs="宋体"/>
          <w:color w:val="auto"/>
        </w:rPr>
        <w:t>第</w:t>
      </w:r>
      <w:r>
        <w:rPr>
          <w:rFonts w:hint="eastAsia" w:ascii="宋体" w:hAnsi="宋体" w:eastAsia="宋体" w:cs="宋体"/>
          <w:color w:val="auto"/>
          <w:lang w:eastAsia="zh-CN"/>
        </w:rPr>
        <w:t>二</w:t>
      </w:r>
      <w:r>
        <w:rPr>
          <w:rFonts w:hint="eastAsia" w:ascii="宋体" w:hAnsi="宋体" w:eastAsia="宋体" w:cs="宋体"/>
          <w:color w:val="auto"/>
        </w:rPr>
        <w:t>篇 项目商务要求</w:t>
      </w:r>
      <w:bookmarkEnd w:id="3"/>
      <w:bookmarkEnd w:id="4"/>
      <w:bookmarkStart w:id="6" w:name="_Toc505608529"/>
    </w:p>
    <w:bookmarkEnd w:id="5"/>
    <w:bookmarkEnd w:id="6"/>
    <w:p>
      <w:pPr>
        <w:snapToGrid w:val="0"/>
        <w:spacing w:line="360" w:lineRule="auto"/>
        <w:rPr>
          <w:color w:val="auto"/>
          <w:sz w:val="24"/>
        </w:rPr>
      </w:pPr>
    </w:p>
    <w:p>
      <w:pPr>
        <w:pStyle w:val="4"/>
        <w:spacing w:line="360" w:lineRule="auto"/>
        <w:rPr>
          <w:color w:val="auto"/>
        </w:rPr>
      </w:pPr>
      <w:bookmarkStart w:id="7" w:name="_Toc98942883"/>
      <w:r>
        <w:rPr>
          <w:rFonts w:hint="eastAsia"/>
          <w:color w:val="auto"/>
        </w:rPr>
        <w:t>一、培训时间、培训地方及培训方式</w:t>
      </w:r>
      <w:bookmarkEnd w:id="7"/>
    </w:p>
    <w:p>
      <w:pPr>
        <w:snapToGrid w:val="0"/>
        <w:spacing w:line="276" w:lineRule="auto"/>
        <w:ind w:firstLine="480" w:firstLineChars="200"/>
        <w:rPr>
          <w:color w:val="auto"/>
          <w:sz w:val="24"/>
        </w:rPr>
      </w:pPr>
      <w:r>
        <w:rPr>
          <w:rFonts w:hint="eastAsia"/>
          <w:color w:val="auto"/>
          <w:sz w:val="24"/>
        </w:rPr>
        <w:t>1.培训时间</w:t>
      </w:r>
    </w:p>
    <w:p>
      <w:pPr>
        <w:pStyle w:val="29"/>
        <w:spacing w:after="0"/>
        <w:ind w:firstLine="480"/>
        <w:rPr>
          <w:rFonts w:ascii="宋体"/>
          <w:color w:val="auto"/>
          <w:sz w:val="24"/>
        </w:rPr>
      </w:pPr>
      <w:r>
        <w:rPr>
          <w:rFonts w:hint="eastAsia" w:ascii="宋体"/>
          <w:color w:val="auto"/>
          <w:sz w:val="24"/>
        </w:rPr>
        <w:t>从甲方发出中选通知起至2024年12月31日。</w:t>
      </w:r>
    </w:p>
    <w:p>
      <w:pPr>
        <w:snapToGrid w:val="0"/>
        <w:ind w:firstLine="480" w:firstLineChars="200"/>
        <w:rPr>
          <w:color w:val="auto"/>
          <w:sz w:val="24"/>
          <w:szCs w:val="24"/>
        </w:rPr>
      </w:pPr>
      <w:r>
        <w:rPr>
          <w:rFonts w:hint="eastAsia"/>
          <w:color w:val="auto"/>
          <w:sz w:val="24"/>
          <w:szCs w:val="24"/>
        </w:rPr>
        <w:t>1.2培训地点</w:t>
      </w:r>
    </w:p>
    <w:p>
      <w:pPr>
        <w:pStyle w:val="29"/>
        <w:spacing w:after="0"/>
        <w:ind w:firstLine="480"/>
        <w:rPr>
          <w:rFonts w:ascii="宋体"/>
          <w:color w:val="auto"/>
          <w:sz w:val="24"/>
        </w:rPr>
      </w:pPr>
      <w:r>
        <w:rPr>
          <w:rFonts w:hint="eastAsia" w:ascii="宋体"/>
          <w:color w:val="auto"/>
          <w:sz w:val="24"/>
        </w:rPr>
        <w:t>地点在重庆医科大学口腔医学院。</w:t>
      </w:r>
    </w:p>
    <w:p>
      <w:pPr>
        <w:snapToGrid w:val="0"/>
        <w:ind w:firstLine="480" w:firstLineChars="200"/>
        <w:rPr>
          <w:color w:val="auto"/>
          <w:sz w:val="24"/>
          <w:szCs w:val="24"/>
        </w:rPr>
      </w:pPr>
      <w:r>
        <w:rPr>
          <w:rFonts w:hint="eastAsia"/>
          <w:color w:val="auto"/>
          <w:sz w:val="24"/>
          <w:szCs w:val="24"/>
        </w:rPr>
        <w:t>1.3培训方式</w:t>
      </w:r>
    </w:p>
    <w:p>
      <w:pPr>
        <w:snapToGrid w:val="0"/>
        <w:ind w:firstLine="480" w:firstLineChars="200"/>
        <w:rPr>
          <w:rFonts w:hint="eastAsia" w:eastAsia="宋体"/>
          <w:color w:val="auto"/>
          <w:sz w:val="24"/>
          <w:szCs w:val="24"/>
          <w:lang w:eastAsia="zh-CN"/>
        </w:rPr>
      </w:pPr>
      <w:r>
        <w:rPr>
          <w:rFonts w:hint="eastAsia"/>
          <w:color w:val="auto"/>
          <w:sz w:val="24"/>
          <w:szCs w:val="24"/>
        </w:rPr>
        <w:t>采用线下+线上，理论+模拟演练培训的方式进行培训和服务</w:t>
      </w:r>
      <w:r>
        <w:rPr>
          <w:rFonts w:hint="eastAsia"/>
          <w:color w:val="auto"/>
          <w:sz w:val="24"/>
          <w:szCs w:val="24"/>
          <w:lang w:eastAsia="zh-CN"/>
        </w:rPr>
        <w:t>。</w:t>
      </w:r>
    </w:p>
    <w:p>
      <w:pPr>
        <w:pStyle w:val="4"/>
        <w:rPr>
          <w:color w:val="auto"/>
          <w:sz w:val="24"/>
          <w:szCs w:val="24"/>
        </w:rPr>
      </w:pPr>
      <w:bookmarkStart w:id="8" w:name="_Toc505608530"/>
      <w:bookmarkStart w:id="9" w:name="_Toc98942884"/>
      <w:bookmarkStart w:id="10" w:name="_Toc267320050"/>
      <w:r>
        <w:rPr>
          <w:rFonts w:hint="eastAsia"/>
          <w:color w:val="auto"/>
          <w:sz w:val="24"/>
          <w:szCs w:val="24"/>
        </w:rPr>
        <w:t>二、报价要求</w:t>
      </w:r>
      <w:bookmarkEnd w:id="8"/>
      <w:bookmarkEnd w:id="9"/>
    </w:p>
    <w:p>
      <w:pPr>
        <w:snapToGrid w:val="0"/>
        <w:ind w:firstLine="480" w:firstLineChars="200"/>
        <w:rPr>
          <w:rFonts w:hint="eastAsia"/>
          <w:color w:val="auto"/>
          <w:sz w:val="24"/>
          <w:szCs w:val="24"/>
        </w:rPr>
      </w:pPr>
      <w:bookmarkStart w:id="11" w:name="_Toc505608531"/>
      <w:r>
        <w:rPr>
          <w:rFonts w:hint="eastAsia"/>
          <w:color w:val="auto"/>
          <w:sz w:val="24"/>
          <w:szCs w:val="24"/>
        </w:rPr>
        <w:t>2.1.</w:t>
      </w:r>
      <w:r>
        <w:rPr>
          <w:rFonts w:hint="eastAsia" w:ascii="微软雅黑" w:hAnsi="微软雅黑" w:eastAsia="微软雅黑"/>
          <w:color w:val="auto"/>
          <w:sz w:val="24"/>
          <w:szCs w:val="24"/>
          <w:shd w:val="clear" w:color="auto" w:fill="FFFFFF"/>
        </w:rPr>
        <w:t xml:space="preserve"> </w:t>
      </w:r>
      <w:r>
        <w:rPr>
          <w:rFonts w:hint="eastAsia"/>
          <w:color w:val="auto"/>
          <w:sz w:val="24"/>
          <w:szCs w:val="24"/>
        </w:rPr>
        <w:t>报价以人民币报价。报价应为完成该项目所需的培训费、指导费、咨询费、视频制作费、PPT制作费、计划书制作费，交通费等所有费用。因</w:t>
      </w:r>
      <w:r>
        <w:rPr>
          <w:rFonts w:hint="eastAsia"/>
          <w:color w:val="auto"/>
          <w:sz w:val="24"/>
          <w:szCs w:val="24"/>
          <w:highlight w:val="none"/>
        </w:rPr>
        <w:t>供货商</w:t>
      </w:r>
      <w:r>
        <w:rPr>
          <w:rFonts w:hint="eastAsia"/>
          <w:color w:val="auto"/>
          <w:sz w:val="24"/>
          <w:szCs w:val="24"/>
        </w:rPr>
        <w:t>自身原因造成漏报、少报皆由</w:t>
      </w:r>
      <w:r>
        <w:rPr>
          <w:rFonts w:hint="eastAsia"/>
          <w:color w:val="auto"/>
          <w:sz w:val="24"/>
          <w:szCs w:val="24"/>
          <w:highlight w:val="none"/>
        </w:rPr>
        <w:t>供货商</w:t>
      </w:r>
      <w:r>
        <w:rPr>
          <w:rFonts w:hint="eastAsia"/>
          <w:color w:val="auto"/>
          <w:sz w:val="24"/>
          <w:szCs w:val="24"/>
        </w:rPr>
        <w:t>自行承担责任，采购人不再补偿。</w:t>
      </w:r>
    </w:p>
    <w:p>
      <w:pPr>
        <w:pStyle w:val="2"/>
        <w:rPr>
          <w:rFonts w:hint="eastAsia" w:eastAsia="宋体"/>
          <w:lang w:eastAsia="zh-CN"/>
        </w:rPr>
      </w:pPr>
      <w:r>
        <w:rPr>
          <w:rFonts w:hint="eastAsia"/>
          <w:color w:val="auto"/>
          <w:sz w:val="24"/>
          <w:szCs w:val="24"/>
          <w:lang w:eastAsia="zh-CN"/>
        </w:rPr>
        <w:t>分项明显报价表（供应商按下表报价）：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30"/>
        <w:gridCol w:w="2052"/>
        <w:gridCol w:w="2208"/>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0" w:hRule="atLeast"/>
          <w:jc w:val="center"/>
        </w:trPr>
        <w:tc>
          <w:tcPr>
            <w:tcW w:w="830"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序号</w:t>
            </w:r>
          </w:p>
        </w:tc>
        <w:tc>
          <w:tcPr>
            <w:tcW w:w="2052"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比赛阶段及名次</w:t>
            </w:r>
          </w:p>
        </w:tc>
        <w:tc>
          <w:tcPr>
            <w:tcW w:w="2208"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报价</w:t>
            </w:r>
            <w:r>
              <w:rPr>
                <w:rFonts w:hint="eastAsia"/>
                <w:color w:val="auto"/>
                <w:sz w:val="24"/>
                <w:szCs w:val="24"/>
                <w:lang w:eastAsia="zh-CN"/>
              </w:rPr>
              <w:t>（元）</w:t>
            </w:r>
          </w:p>
        </w:tc>
        <w:tc>
          <w:tcPr>
            <w:tcW w:w="3329"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备注</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0" w:hRule="atLeast"/>
          <w:jc w:val="center"/>
        </w:trPr>
        <w:tc>
          <w:tcPr>
            <w:tcW w:w="830" w:type="dxa"/>
            <w:vAlign w:val="center"/>
          </w:tcPr>
          <w:p>
            <w:pPr>
              <w:snapToGrid w:val="0"/>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1</w:t>
            </w:r>
          </w:p>
        </w:tc>
        <w:tc>
          <w:tcPr>
            <w:tcW w:w="2052"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市赛银奖</w:t>
            </w:r>
          </w:p>
        </w:tc>
        <w:tc>
          <w:tcPr>
            <w:tcW w:w="2208" w:type="dxa"/>
            <w:vAlign w:val="center"/>
          </w:tcPr>
          <w:p>
            <w:pPr>
              <w:snapToGrid w:val="0"/>
              <w:jc w:val="center"/>
              <w:rPr>
                <w:color w:val="auto"/>
                <w:sz w:val="24"/>
                <w:szCs w:val="24"/>
                <w:vertAlign w:val="baseline"/>
              </w:rPr>
            </w:pPr>
          </w:p>
        </w:tc>
        <w:tc>
          <w:tcPr>
            <w:tcW w:w="3329" w:type="dxa"/>
            <w:vAlign w:val="center"/>
          </w:tcPr>
          <w:p>
            <w:pPr>
              <w:snapToGrid w:val="0"/>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0" w:hRule="atLeast"/>
          <w:jc w:val="center"/>
        </w:trPr>
        <w:tc>
          <w:tcPr>
            <w:tcW w:w="830" w:type="dxa"/>
            <w:vAlign w:val="center"/>
          </w:tcPr>
          <w:p>
            <w:pPr>
              <w:snapToGrid w:val="0"/>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2</w:t>
            </w:r>
          </w:p>
        </w:tc>
        <w:tc>
          <w:tcPr>
            <w:tcW w:w="2052"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市赛金奖</w:t>
            </w:r>
          </w:p>
        </w:tc>
        <w:tc>
          <w:tcPr>
            <w:tcW w:w="2208" w:type="dxa"/>
            <w:vAlign w:val="center"/>
          </w:tcPr>
          <w:p>
            <w:pPr>
              <w:snapToGrid w:val="0"/>
              <w:jc w:val="center"/>
              <w:rPr>
                <w:color w:val="auto"/>
                <w:sz w:val="24"/>
                <w:szCs w:val="24"/>
                <w:vertAlign w:val="baseline"/>
              </w:rPr>
            </w:pPr>
          </w:p>
        </w:tc>
        <w:tc>
          <w:tcPr>
            <w:tcW w:w="3329" w:type="dxa"/>
            <w:vAlign w:val="center"/>
          </w:tcPr>
          <w:p>
            <w:pPr>
              <w:snapToGrid w:val="0"/>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0" w:hRule="atLeast"/>
          <w:jc w:val="center"/>
        </w:trPr>
        <w:tc>
          <w:tcPr>
            <w:tcW w:w="830" w:type="dxa"/>
            <w:vAlign w:val="center"/>
          </w:tcPr>
          <w:p>
            <w:pPr>
              <w:snapToGrid w:val="0"/>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3</w:t>
            </w:r>
          </w:p>
        </w:tc>
        <w:tc>
          <w:tcPr>
            <w:tcW w:w="2052"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国赛铜奖</w:t>
            </w:r>
          </w:p>
        </w:tc>
        <w:tc>
          <w:tcPr>
            <w:tcW w:w="2208" w:type="dxa"/>
            <w:vAlign w:val="center"/>
          </w:tcPr>
          <w:p>
            <w:pPr>
              <w:snapToGrid w:val="0"/>
              <w:jc w:val="center"/>
              <w:rPr>
                <w:color w:val="auto"/>
                <w:sz w:val="24"/>
                <w:szCs w:val="24"/>
                <w:vertAlign w:val="baseline"/>
              </w:rPr>
            </w:pPr>
          </w:p>
        </w:tc>
        <w:tc>
          <w:tcPr>
            <w:tcW w:w="3329" w:type="dxa"/>
            <w:vAlign w:val="center"/>
          </w:tcPr>
          <w:p>
            <w:pPr>
              <w:snapToGrid w:val="0"/>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0" w:hRule="atLeast"/>
          <w:jc w:val="center"/>
        </w:trPr>
        <w:tc>
          <w:tcPr>
            <w:tcW w:w="830" w:type="dxa"/>
            <w:vAlign w:val="center"/>
          </w:tcPr>
          <w:p>
            <w:pPr>
              <w:snapToGrid w:val="0"/>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4</w:t>
            </w:r>
          </w:p>
        </w:tc>
        <w:tc>
          <w:tcPr>
            <w:tcW w:w="2052"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国赛银奖</w:t>
            </w:r>
          </w:p>
        </w:tc>
        <w:tc>
          <w:tcPr>
            <w:tcW w:w="2208" w:type="dxa"/>
            <w:vAlign w:val="center"/>
          </w:tcPr>
          <w:p>
            <w:pPr>
              <w:snapToGrid w:val="0"/>
              <w:jc w:val="center"/>
              <w:rPr>
                <w:color w:val="auto"/>
                <w:sz w:val="24"/>
                <w:szCs w:val="24"/>
                <w:vertAlign w:val="baseline"/>
              </w:rPr>
            </w:pPr>
          </w:p>
        </w:tc>
        <w:tc>
          <w:tcPr>
            <w:tcW w:w="3329" w:type="dxa"/>
            <w:vAlign w:val="center"/>
          </w:tcPr>
          <w:p>
            <w:pPr>
              <w:snapToGrid w:val="0"/>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3" w:hRule="atLeast"/>
          <w:jc w:val="center"/>
        </w:trPr>
        <w:tc>
          <w:tcPr>
            <w:tcW w:w="830" w:type="dxa"/>
            <w:vAlign w:val="center"/>
          </w:tcPr>
          <w:p>
            <w:pPr>
              <w:snapToGrid w:val="0"/>
              <w:jc w:val="center"/>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5</w:t>
            </w:r>
          </w:p>
        </w:tc>
        <w:tc>
          <w:tcPr>
            <w:tcW w:w="2052" w:type="dxa"/>
            <w:vAlign w:val="center"/>
          </w:tcPr>
          <w:p>
            <w:pPr>
              <w:snapToGrid w:val="0"/>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国赛金奖</w:t>
            </w:r>
          </w:p>
        </w:tc>
        <w:tc>
          <w:tcPr>
            <w:tcW w:w="2208" w:type="dxa"/>
            <w:vAlign w:val="center"/>
          </w:tcPr>
          <w:p>
            <w:pPr>
              <w:snapToGrid w:val="0"/>
              <w:jc w:val="center"/>
              <w:rPr>
                <w:color w:val="auto"/>
                <w:sz w:val="24"/>
                <w:szCs w:val="24"/>
                <w:vertAlign w:val="baseline"/>
              </w:rPr>
            </w:pPr>
          </w:p>
        </w:tc>
        <w:tc>
          <w:tcPr>
            <w:tcW w:w="3329" w:type="dxa"/>
            <w:vAlign w:val="center"/>
          </w:tcPr>
          <w:p>
            <w:pPr>
              <w:snapToGrid w:val="0"/>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3" w:hRule="atLeast"/>
          <w:jc w:val="center"/>
        </w:trPr>
        <w:tc>
          <w:tcPr>
            <w:tcW w:w="830" w:type="dxa"/>
            <w:vAlign w:val="center"/>
          </w:tcPr>
          <w:p>
            <w:pPr>
              <w:snapToGrid w:val="0"/>
              <w:jc w:val="center"/>
              <w:rPr>
                <w:rFonts w:hint="default"/>
                <w:color w:val="auto"/>
                <w:sz w:val="24"/>
                <w:szCs w:val="24"/>
                <w:vertAlign w:val="baseline"/>
                <w:lang w:val="en-US" w:eastAsia="zh-CN"/>
              </w:rPr>
            </w:pPr>
            <w:r>
              <w:rPr>
                <w:rFonts w:hint="eastAsia"/>
                <w:color w:val="auto"/>
                <w:sz w:val="24"/>
                <w:szCs w:val="24"/>
                <w:vertAlign w:val="baseline"/>
                <w:lang w:val="en-US" w:eastAsia="zh-CN"/>
              </w:rPr>
              <w:t>6</w:t>
            </w:r>
          </w:p>
        </w:tc>
        <w:tc>
          <w:tcPr>
            <w:tcW w:w="2052" w:type="dxa"/>
            <w:vAlign w:val="center"/>
          </w:tcPr>
          <w:p>
            <w:pPr>
              <w:snapToGrid w:val="0"/>
              <w:jc w:val="center"/>
              <w:rPr>
                <w:rFonts w:hint="eastAsia"/>
                <w:color w:val="auto"/>
                <w:sz w:val="24"/>
                <w:szCs w:val="24"/>
                <w:vertAlign w:val="baseline"/>
                <w:lang w:eastAsia="zh-CN"/>
              </w:rPr>
            </w:pPr>
            <w:r>
              <w:rPr>
                <w:rFonts w:hint="eastAsia"/>
                <w:color w:val="auto"/>
                <w:sz w:val="24"/>
                <w:szCs w:val="24"/>
                <w:vertAlign w:val="baseline"/>
                <w:lang w:eastAsia="zh-CN"/>
              </w:rPr>
              <w:t>合</w:t>
            </w:r>
            <w:r>
              <w:rPr>
                <w:rFonts w:hint="eastAsia"/>
                <w:color w:val="auto"/>
                <w:sz w:val="24"/>
                <w:szCs w:val="24"/>
                <w:vertAlign w:val="baseline"/>
                <w:lang w:val="en-US" w:eastAsia="zh-CN"/>
              </w:rPr>
              <w:t xml:space="preserve">  </w:t>
            </w:r>
            <w:r>
              <w:rPr>
                <w:rFonts w:hint="eastAsia"/>
                <w:color w:val="auto"/>
                <w:sz w:val="24"/>
                <w:szCs w:val="24"/>
                <w:vertAlign w:val="baseline"/>
                <w:lang w:eastAsia="zh-CN"/>
              </w:rPr>
              <w:t>计</w:t>
            </w:r>
          </w:p>
        </w:tc>
        <w:tc>
          <w:tcPr>
            <w:tcW w:w="2208" w:type="dxa"/>
            <w:vAlign w:val="center"/>
          </w:tcPr>
          <w:p>
            <w:pPr>
              <w:snapToGrid w:val="0"/>
              <w:jc w:val="center"/>
              <w:rPr>
                <w:color w:val="auto"/>
                <w:sz w:val="24"/>
                <w:szCs w:val="24"/>
                <w:vertAlign w:val="baseline"/>
              </w:rPr>
            </w:pPr>
          </w:p>
        </w:tc>
        <w:tc>
          <w:tcPr>
            <w:tcW w:w="3329" w:type="dxa"/>
            <w:vAlign w:val="center"/>
          </w:tcPr>
          <w:p>
            <w:pPr>
              <w:snapToGrid w:val="0"/>
              <w:jc w:val="center"/>
              <w:rPr>
                <w:color w:val="auto"/>
                <w:sz w:val="24"/>
                <w:szCs w:val="24"/>
                <w:vertAlign w:val="baseline"/>
              </w:rPr>
            </w:pPr>
          </w:p>
        </w:tc>
      </w:tr>
    </w:tbl>
    <w:p>
      <w:pPr>
        <w:snapToGrid w:val="0"/>
        <w:ind w:firstLine="480" w:firstLineChars="200"/>
        <w:rPr>
          <w:color w:val="auto"/>
          <w:sz w:val="24"/>
          <w:szCs w:val="24"/>
        </w:rPr>
      </w:pPr>
    </w:p>
    <w:p>
      <w:pPr>
        <w:pStyle w:val="4"/>
        <w:rPr>
          <w:rFonts w:hint="eastAsia" w:hAnsi="宋体"/>
          <w:color w:val="auto"/>
          <w:sz w:val="24"/>
          <w:szCs w:val="24"/>
        </w:rPr>
      </w:pPr>
      <w:bookmarkStart w:id="12" w:name="_Toc98942885"/>
      <w:r>
        <w:rPr>
          <w:rFonts w:hint="eastAsia"/>
          <w:color w:val="auto"/>
          <w:sz w:val="24"/>
          <w:szCs w:val="24"/>
        </w:rPr>
        <w:t>三、</w:t>
      </w:r>
      <w:bookmarkEnd w:id="10"/>
      <w:bookmarkEnd w:id="11"/>
      <w:bookmarkEnd w:id="12"/>
      <w:r>
        <w:rPr>
          <w:rFonts w:hint="eastAsia"/>
          <w:color w:val="auto"/>
          <w:sz w:val="24"/>
          <w:szCs w:val="24"/>
        </w:rPr>
        <w:t>服务要求</w:t>
      </w:r>
    </w:p>
    <w:p>
      <w:pPr>
        <w:ind w:firstLine="480" w:firstLineChars="200"/>
        <w:rPr>
          <w:color w:val="auto"/>
          <w:sz w:val="24"/>
          <w:szCs w:val="24"/>
        </w:rPr>
      </w:pPr>
      <w:r>
        <w:rPr>
          <w:rFonts w:hint="eastAsia"/>
          <w:color w:val="auto"/>
          <w:sz w:val="24"/>
          <w:szCs w:val="24"/>
        </w:rPr>
        <w:t>3.1.培训团队：培训专家团队成员应包含中国国际大学生创新大赛指导实战经验的专家以及材料撰写和PPT设计优化的专业人士。需提供相应专家的资质证书</w:t>
      </w:r>
    </w:p>
    <w:p>
      <w:pPr>
        <w:ind w:firstLine="480" w:firstLineChars="200"/>
        <w:rPr>
          <w:color w:val="auto"/>
          <w:sz w:val="24"/>
          <w:szCs w:val="24"/>
        </w:rPr>
      </w:pPr>
      <w:r>
        <w:rPr>
          <w:rFonts w:hint="eastAsia"/>
          <w:color w:val="auto"/>
          <w:sz w:val="24"/>
          <w:szCs w:val="24"/>
        </w:rPr>
        <w:t>3.2.其他要求：用户线上不能解决的问题，成交供应商应安排专家到场指导。</w:t>
      </w:r>
    </w:p>
    <w:p>
      <w:pPr>
        <w:ind w:firstLine="480" w:firstLineChars="200"/>
        <w:rPr>
          <w:color w:val="auto"/>
          <w:sz w:val="24"/>
          <w:szCs w:val="24"/>
        </w:rPr>
      </w:pPr>
      <w:r>
        <w:rPr>
          <w:rFonts w:hint="eastAsia"/>
          <w:color w:val="auto"/>
          <w:sz w:val="24"/>
          <w:szCs w:val="24"/>
        </w:rPr>
        <w:t>3.3.培训服务期间至2024年12月31日。</w:t>
      </w:r>
    </w:p>
    <w:p>
      <w:pPr>
        <w:rPr>
          <w:color w:val="auto"/>
          <w:sz w:val="24"/>
          <w:szCs w:val="24"/>
        </w:rPr>
      </w:pPr>
      <w:r>
        <w:rPr>
          <w:rFonts w:hint="eastAsia"/>
          <w:color w:val="auto"/>
          <w:sz w:val="24"/>
          <w:szCs w:val="24"/>
        </w:rPr>
        <w:t xml:space="preserve"> </w:t>
      </w:r>
    </w:p>
    <w:p>
      <w:pPr>
        <w:pStyle w:val="4"/>
        <w:rPr>
          <w:color w:val="auto"/>
          <w:sz w:val="24"/>
          <w:szCs w:val="24"/>
        </w:rPr>
      </w:pPr>
      <w:bookmarkStart w:id="13" w:name="_Toc267320051"/>
      <w:bookmarkStart w:id="14" w:name="_Toc505608532"/>
      <w:bookmarkStart w:id="15" w:name="_Toc98942886"/>
      <w:r>
        <w:rPr>
          <w:rFonts w:hint="eastAsia"/>
          <w:color w:val="auto"/>
          <w:sz w:val="24"/>
          <w:szCs w:val="24"/>
        </w:rPr>
        <w:t>四、付款方式</w:t>
      </w:r>
      <w:bookmarkEnd w:id="13"/>
      <w:bookmarkEnd w:id="14"/>
      <w:bookmarkEnd w:id="15"/>
      <w:r>
        <w:rPr>
          <w:rFonts w:hint="eastAsia"/>
          <w:color w:val="auto"/>
          <w:sz w:val="24"/>
          <w:szCs w:val="24"/>
        </w:rPr>
        <w:t>（以下为货物采购模板内容，请根据实际修改）</w:t>
      </w:r>
    </w:p>
    <w:p>
      <w:pPr>
        <w:ind w:firstLine="480" w:firstLineChars="200"/>
        <w:rPr>
          <w:color w:val="auto"/>
          <w:sz w:val="24"/>
          <w:szCs w:val="24"/>
        </w:rPr>
      </w:pPr>
      <w:r>
        <w:rPr>
          <w:rFonts w:hint="eastAsia"/>
          <w:color w:val="auto"/>
          <w:sz w:val="24"/>
          <w:szCs w:val="24"/>
        </w:rPr>
        <w:t>按阶段进行付款，市赛阶段：重庆市市赛结束后7个工作日内，先支付市赛阶段总费用的50%，市赛结果通知文件下发后7个工作日，付市赛阶段剩余50%的费用。</w:t>
      </w:r>
    </w:p>
    <w:p>
      <w:pPr>
        <w:pStyle w:val="2"/>
        <w:spacing w:line="240" w:lineRule="auto"/>
        <w:ind w:left="0" w:firstLineChars="200"/>
        <w:rPr>
          <w:color w:val="auto"/>
          <w:sz w:val="24"/>
          <w:szCs w:val="24"/>
        </w:rPr>
      </w:pPr>
      <w:r>
        <w:rPr>
          <w:rFonts w:hint="eastAsia"/>
          <w:color w:val="auto"/>
          <w:sz w:val="24"/>
          <w:szCs w:val="24"/>
        </w:rPr>
        <w:t>国赛阶段：获得国赛参赛资格，即中国国际大学生创新大赛（2024）国赛参赛名单下发后15个工作日内先支付40%，2024年12月31日前支付国赛阶段剩余60%。</w:t>
      </w:r>
    </w:p>
    <w:p>
      <w:pPr>
        <w:ind w:firstLine="480" w:firstLineChars="200"/>
        <w:rPr>
          <w:color w:val="auto"/>
          <w:sz w:val="24"/>
          <w:szCs w:val="24"/>
        </w:rPr>
      </w:pPr>
      <w:r>
        <w:rPr>
          <w:rFonts w:hint="eastAsia"/>
          <w:color w:val="auto"/>
          <w:sz w:val="24"/>
          <w:szCs w:val="24"/>
        </w:rPr>
        <w:t>具体细节可有由双方协商确定。</w:t>
      </w:r>
      <w:r>
        <w:rPr>
          <w:color w:val="auto"/>
          <w:sz w:val="24"/>
          <w:szCs w:val="24"/>
        </w:rPr>
        <w:t xml:space="preserve"> </w:t>
      </w:r>
    </w:p>
    <w:p>
      <w:pPr>
        <w:pStyle w:val="4"/>
        <w:rPr>
          <w:color w:val="auto"/>
          <w:sz w:val="24"/>
          <w:szCs w:val="24"/>
        </w:rPr>
      </w:pPr>
      <w:bookmarkStart w:id="16" w:name="_Toc267320054"/>
      <w:bookmarkStart w:id="17" w:name="_Toc98942889"/>
      <w:bookmarkStart w:id="18" w:name="_Toc505608536"/>
    </w:p>
    <w:p>
      <w:pPr>
        <w:pStyle w:val="4"/>
        <w:rPr>
          <w:color w:val="auto"/>
          <w:sz w:val="24"/>
          <w:szCs w:val="24"/>
        </w:rPr>
      </w:pPr>
      <w:r>
        <w:rPr>
          <w:rFonts w:hint="eastAsia"/>
          <w:color w:val="auto"/>
          <w:sz w:val="24"/>
          <w:szCs w:val="24"/>
        </w:rPr>
        <w:t>五、</w:t>
      </w:r>
      <w:bookmarkEnd w:id="16"/>
      <w:r>
        <w:rPr>
          <w:rFonts w:hint="eastAsia"/>
          <w:color w:val="auto"/>
          <w:sz w:val="24"/>
          <w:szCs w:val="24"/>
        </w:rPr>
        <w:t>其他商务要求内容</w:t>
      </w:r>
      <w:bookmarkEnd w:id="17"/>
      <w:bookmarkEnd w:id="18"/>
    </w:p>
    <w:p>
      <w:pPr>
        <w:ind w:firstLine="480" w:firstLineChars="200"/>
        <w:rPr>
          <w:rFonts w:hint="eastAsia" w:hAnsi="宋体" w:cs="方正仿宋_GBK"/>
          <w:color w:val="auto"/>
          <w:sz w:val="24"/>
          <w:szCs w:val="24"/>
        </w:rPr>
      </w:pPr>
      <w:r>
        <w:rPr>
          <w:rFonts w:hint="eastAsia" w:hAnsi="宋体" w:cs="宋体"/>
          <w:color w:val="auto"/>
          <w:sz w:val="24"/>
          <w:szCs w:val="24"/>
        </w:rPr>
        <w:t>5.1.其他未尽事宜由供需双方在采购合同中详细约定，</w:t>
      </w:r>
      <w:r>
        <w:rPr>
          <w:rFonts w:hint="eastAsia" w:hAnsi="宋体" w:cs="方正仿宋_GBK"/>
          <w:color w:val="auto"/>
          <w:sz w:val="24"/>
          <w:szCs w:val="24"/>
        </w:rPr>
        <w:t>投标人在响应文件中所承诺的所有经济、技术和商务条款都要纳入成交合同中。</w:t>
      </w:r>
    </w:p>
    <w:p>
      <w:pPr>
        <w:ind w:firstLine="480" w:firstLineChars="200"/>
        <w:jc w:val="left"/>
        <w:rPr>
          <w:rFonts w:hint="eastAsia"/>
          <w:b/>
          <w:color w:val="FF0000"/>
          <w:sz w:val="28"/>
          <w:szCs w:val="28"/>
          <w:lang w:eastAsia="zh-CN"/>
        </w:rPr>
      </w:pPr>
      <w:r>
        <w:rPr>
          <w:rFonts w:hint="eastAsia" w:hAnsi="宋体" w:cs="方正仿宋_GBK"/>
          <w:color w:val="auto"/>
          <w:sz w:val="24"/>
          <w:szCs w:val="24"/>
        </w:rPr>
        <w:t>5.2.竞争性比选文件、中标人的响应文件及有效承诺文件等，均为签订合同的依据，是合同不可分割的一部分。</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442567B2"/>
    <w:rsid w:val="60701C05"/>
    <w:rsid w:val="64C50CB4"/>
    <w:rsid w:val="710C1EC5"/>
    <w:rsid w:val="74A565C1"/>
    <w:rsid w:val="773E7889"/>
    <w:rsid w:val="77F734C0"/>
    <w:rsid w:val="7B5500B8"/>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2"/>
    <w:qFormat/>
    <w:uiPriority w:val="0"/>
    <w:rPr>
      <w:rFonts w:ascii="宋体" w:hAnsi="宋体" w:eastAsia="宋体" w:cs="Times New Roman"/>
      <w:sz w:val="28"/>
      <w:szCs w:val="24"/>
    </w:rPr>
  </w:style>
  <w:style w:type="character" w:customStyle="1" w:styleId="18">
    <w:name w:val="正文文本缩进 Char1"/>
    <w:basedOn w:val="12"/>
    <w:link w:val="2"/>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6"/>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paragraph" w:customStyle="1" w:styleId="29">
    <w:name w:val="列出段落1"/>
    <w:basedOn w:val="1"/>
    <w:qFormat/>
    <w:uiPriority w:val="99"/>
    <w:pPr>
      <w:widowControl/>
      <w:adjustRightInd w:val="0"/>
      <w:snapToGrid w:val="0"/>
      <w:spacing w:after="200"/>
      <w:ind w:firstLine="420" w:firstLineChars="200"/>
      <w:jc w:val="left"/>
    </w:pPr>
    <w:rPr>
      <w:rFonts w:ascii="Times New Roman"/>
      <w:sz w:val="2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441</Words>
  <Characters>514</Characters>
  <Lines>7</Lines>
  <Paragraphs>2</Paragraphs>
  <TotalTime>5</TotalTime>
  <ScaleCrop>false</ScaleCrop>
  <LinksUpToDate>false</LinksUpToDate>
  <CharactersWithSpaces>564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2024-07-22T03:18:57Z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