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10</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15</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李</w:t>
      </w:r>
      <w:r>
        <w:rPr>
          <w:rFonts w:hint="eastAsia" w:cs="Tahoma" w:asciiTheme="minorEastAsia" w:hAnsiTheme="minorEastAsia"/>
          <w:b/>
          <w:color w:val="333333"/>
          <w:sz w:val="28"/>
          <w:szCs w:val="28"/>
          <w:highlight w:val="none"/>
          <w:shd w:val="clear" w:color="auto" w:fill="FFFFFF"/>
        </w:rPr>
        <w:t>老师023-88860177</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信息系统安全等级保护测评服务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bookmarkStart w:id="27" w:name="_GoBack"/>
            <w:bookmarkEnd w:id="27"/>
            <w:r>
              <w:rPr>
                <w:rFonts w:hint="eastAsia" w:ascii="宋体" w:hAnsi="宋体" w:eastAsia="宋体" w:cs="宋体"/>
                <w:sz w:val="24"/>
                <w:szCs w:val="24"/>
              </w:rPr>
              <w:t>，</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w:t>
            </w:r>
            <w:r>
              <w:rPr>
                <w:rFonts w:hint="eastAsia" w:ascii="宋体" w:hAnsi="宋体" w:eastAsia="宋体" w:cs="Times New Roman"/>
                <w:b/>
                <w:sz w:val="24"/>
                <w:szCs w:val="24"/>
                <w:lang w:eastAsia="zh-CN"/>
              </w:rPr>
              <w:t>服务</w:t>
            </w:r>
            <w:r>
              <w:rPr>
                <w:rFonts w:hint="eastAsia" w:ascii="宋体" w:hAnsi="宋体" w:eastAsia="宋体" w:cs="Times New Roman"/>
                <w:b/>
                <w:sz w:val="24"/>
                <w:szCs w:val="24"/>
              </w:rPr>
              <w:t>技术</w:t>
            </w:r>
            <w:r>
              <w:rPr>
                <w:rFonts w:hint="eastAsia" w:ascii="宋体" w:hAnsi="宋体" w:eastAsia="宋体" w:cs="Times New Roman"/>
                <w:b/>
                <w:sz w:val="24"/>
                <w:szCs w:val="24"/>
                <w:lang w:eastAsia="zh-CN"/>
              </w:rPr>
              <w:t>及商务</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附后</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3"/>
        <w:spacing w:line="360" w:lineRule="auto"/>
        <w:rPr>
          <w:rFonts w:hint="eastAsia" w:ascii="宋体" w:hAnsi="宋体" w:eastAsia="宋体" w:cs="宋体"/>
        </w:rPr>
      </w:pPr>
      <w:bookmarkStart w:id="0" w:name="_Toc19113857"/>
      <w:bookmarkStart w:id="1" w:name="_Toc98942879"/>
      <w:r>
        <w:rPr>
          <w:rFonts w:hint="eastAsia" w:ascii="宋体" w:hAnsi="宋体" w:eastAsia="宋体" w:cs="宋体"/>
        </w:rPr>
        <w:t>第</w:t>
      </w:r>
      <w:r>
        <w:rPr>
          <w:rFonts w:hint="eastAsia" w:ascii="宋体" w:hAnsi="宋体" w:eastAsia="宋体" w:cs="宋体"/>
          <w:lang w:eastAsia="zh-CN"/>
        </w:rPr>
        <w:t>一</w:t>
      </w:r>
      <w:r>
        <w:rPr>
          <w:rFonts w:hint="eastAsia" w:ascii="宋体" w:hAnsi="宋体" w:eastAsia="宋体" w:cs="宋体"/>
        </w:rPr>
        <w:t>篇 项目技术</w:t>
      </w:r>
      <w:r>
        <w:rPr>
          <w:rFonts w:hint="eastAsia" w:ascii="宋体" w:hAnsi="宋体" w:eastAsia="宋体" w:cs="宋体"/>
          <w:lang w:val="en-US" w:eastAsia="zh-CN"/>
        </w:rPr>
        <w:t>/服务</w:t>
      </w:r>
      <w:r>
        <w:rPr>
          <w:rFonts w:hint="eastAsia" w:ascii="宋体" w:hAnsi="宋体" w:eastAsia="宋体" w:cs="宋体"/>
        </w:rPr>
        <w:t>要求</w:t>
      </w:r>
      <w:bookmarkEnd w:id="0"/>
      <w:bookmarkEnd w:id="1"/>
    </w:p>
    <w:p>
      <w:pPr>
        <w:keepNext/>
        <w:keepLines/>
        <w:widowControl w:val="0"/>
        <w:adjustRightInd w:val="0"/>
        <w:snapToGrid w:val="0"/>
        <w:spacing w:line="400" w:lineRule="exact"/>
        <w:ind w:firstLine="562" w:firstLineChars="200"/>
        <w:outlineLvl w:val="1"/>
        <w:rPr>
          <w:rFonts w:hint="eastAsia" w:ascii="宋体" w:hAnsi="宋体" w:eastAsia="仿宋_GB2312" w:cs="Times New Roman"/>
          <w:b/>
          <w:color w:val="auto"/>
          <w:kern w:val="2"/>
          <w:sz w:val="28"/>
          <w:highlight w:val="none"/>
          <w:lang w:val="en-US" w:eastAsia="zh-CN" w:bidi="ar-SA"/>
        </w:rPr>
      </w:pPr>
      <w:bookmarkStart w:id="2" w:name="_Toc25929259"/>
      <w:bookmarkStart w:id="3" w:name="_Toc466546910"/>
      <w:bookmarkStart w:id="4" w:name="_Toc35440405"/>
      <w:bookmarkStart w:id="5" w:name="_Toc68613955"/>
      <w:bookmarkStart w:id="6" w:name="_Toc98942882"/>
      <w:bookmarkStart w:id="7" w:name="_Toc19113858"/>
      <w:bookmarkStart w:id="8" w:name="_Toc267320049"/>
      <w:r>
        <w:rPr>
          <w:rFonts w:hint="eastAsia" w:ascii="宋体" w:hAnsi="宋体" w:eastAsia="仿宋_GB2312" w:cs="Times New Roman"/>
          <w:b/>
          <w:color w:val="auto"/>
          <w:kern w:val="2"/>
          <w:sz w:val="28"/>
          <w:highlight w:val="none"/>
          <w:lang w:val="en-US" w:eastAsia="zh-CN" w:bidi="ar-SA"/>
        </w:rPr>
        <w:t>一、</w:t>
      </w:r>
      <w:bookmarkEnd w:id="2"/>
      <w:bookmarkEnd w:id="3"/>
      <w:bookmarkEnd w:id="4"/>
      <w:bookmarkStart w:id="9" w:name="_Toc35440406"/>
      <w:bookmarkStart w:id="10" w:name="_Toc25929260"/>
      <w:r>
        <w:rPr>
          <w:rFonts w:hint="eastAsia" w:ascii="宋体" w:hAnsi="宋体" w:eastAsia="仿宋_GB2312" w:cs="Times New Roman"/>
          <w:b/>
          <w:color w:val="auto"/>
          <w:kern w:val="2"/>
          <w:sz w:val="28"/>
          <w:highlight w:val="none"/>
          <w:lang w:val="en-US" w:eastAsia="zh-CN" w:bidi="ar-SA"/>
        </w:rPr>
        <w:t>项目</w:t>
      </w:r>
      <w:bookmarkEnd w:id="9"/>
      <w:bookmarkEnd w:id="10"/>
      <w:r>
        <w:rPr>
          <w:rFonts w:hint="eastAsia" w:ascii="宋体" w:hAnsi="宋体" w:eastAsia="仿宋_GB2312" w:cs="Times New Roman"/>
          <w:b/>
          <w:color w:val="auto"/>
          <w:kern w:val="2"/>
          <w:sz w:val="28"/>
          <w:highlight w:val="none"/>
          <w:lang w:val="en-US" w:eastAsia="zh-CN" w:bidi="ar-SA"/>
        </w:rPr>
        <w:t>一览表</w:t>
      </w:r>
      <w:bookmarkEnd w:id="5"/>
    </w:p>
    <w:tbl>
      <w:tblPr>
        <w:tblStyle w:val="10"/>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171"/>
        <w:gridCol w:w="1244"/>
        <w:gridCol w:w="131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both"/>
              <w:rPr>
                <w:rFonts w:ascii="方正仿宋_GBK" w:hAnsi="宋体" w:eastAsia="方正仿宋_GBK" w:cs="Times New Roman"/>
                <w:b/>
                <w:color w:val="000000"/>
                <w:kern w:val="2"/>
                <w:sz w:val="24"/>
                <w:szCs w:val="21"/>
                <w:highlight w:val="none"/>
              </w:rPr>
            </w:pPr>
            <w:bookmarkStart w:id="11" w:name="_Toc68613956"/>
            <w:r>
              <w:rPr>
                <w:rFonts w:hint="eastAsia" w:ascii="方正仿宋_GBK" w:hAnsi="宋体" w:eastAsia="方正仿宋_GBK" w:cs="Times New Roman"/>
                <w:b/>
                <w:color w:val="000000"/>
                <w:kern w:val="2"/>
                <w:sz w:val="24"/>
                <w:szCs w:val="21"/>
                <w:highlight w:val="none"/>
              </w:rPr>
              <w:t>序号</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ascii="方正仿宋_GBK" w:hAnsi="宋体" w:eastAsia="方正仿宋_GBK" w:cs="Times New Roman"/>
                <w:b/>
                <w:color w:val="000000"/>
                <w:kern w:val="2"/>
                <w:sz w:val="24"/>
                <w:szCs w:val="21"/>
                <w:highlight w:val="none"/>
              </w:rPr>
            </w:pPr>
            <w:r>
              <w:rPr>
                <w:rFonts w:hint="eastAsia" w:ascii="方正仿宋_GBK" w:hAnsi="宋体" w:eastAsia="方正仿宋_GBK" w:cs="Times New Roman"/>
                <w:b/>
                <w:color w:val="000000"/>
                <w:kern w:val="2"/>
                <w:sz w:val="24"/>
                <w:szCs w:val="21"/>
                <w:highlight w:val="none"/>
              </w:rPr>
              <w:t>项目内容</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both"/>
              <w:rPr>
                <w:rFonts w:ascii="方正仿宋_GBK" w:hAnsi="宋体" w:eastAsia="方正仿宋_GBK" w:cs="Times New Roman"/>
                <w:b/>
                <w:color w:val="000000"/>
                <w:kern w:val="2"/>
                <w:sz w:val="24"/>
                <w:szCs w:val="21"/>
                <w:highlight w:val="none"/>
              </w:rPr>
            </w:pPr>
            <w:r>
              <w:rPr>
                <w:rFonts w:hint="eastAsia" w:ascii="Times New Roman" w:hAnsi="Times New Roman" w:eastAsia="仿宋_GB2312" w:cs="Times New Roman"/>
                <w:color w:val="000000"/>
                <w:kern w:val="2"/>
                <w:sz w:val="24"/>
                <w:szCs w:val="24"/>
                <w:highlight w:val="none"/>
              </w:rPr>
              <w:t>等级要求</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both"/>
              <w:rPr>
                <w:rFonts w:ascii="方正仿宋_GBK" w:hAnsi="宋体" w:eastAsia="方正仿宋_GBK" w:cs="Times New Roman"/>
                <w:b/>
                <w:color w:val="000000"/>
                <w:kern w:val="2"/>
                <w:sz w:val="24"/>
                <w:szCs w:val="21"/>
                <w:highlight w:val="none"/>
              </w:rPr>
            </w:pPr>
            <w:r>
              <w:rPr>
                <w:rFonts w:hint="eastAsia" w:ascii="Times New Roman" w:hAnsi="Times New Roman" w:eastAsia="仿宋_GB2312" w:cs="Times New Roman"/>
                <w:color w:val="000000"/>
                <w:kern w:val="2"/>
                <w:sz w:val="24"/>
                <w:szCs w:val="24"/>
                <w:highlight w:val="none"/>
              </w:rPr>
              <w:t>服务次数</w:t>
            </w: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left="0" w:leftChars="0" w:firstLine="0" w:firstLineChars="0"/>
              <w:jc w:val="both"/>
              <w:rPr>
                <w:rFonts w:ascii="方正仿宋_GBK" w:hAnsi="宋体" w:eastAsia="方正仿宋_GBK" w:cs="Times New Roman"/>
                <w:b/>
                <w:color w:val="000000"/>
                <w:kern w:val="2"/>
                <w:sz w:val="24"/>
                <w:szCs w:val="21"/>
                <w:highlight w:val="none"/>
              </w:rPr>
            </w:pPr>
            <w:r>
              <w:rPr>
                <w:rFonts w:hint="eastAsia" w:ascii="方正仿宋_GBK" w:hAnsi="宋体" w:eastAsia="方正仿宋_GBK" w:cs="Times New Roman"/>
                <w:b/>
                <w:color w:val="000000"/>
                <w:kern w:val="2"/>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rFonts w:ascii="方正仿宋_GBK" w:hAnsi="Times New Roman" w:eastAsia="方正仿宋_GBK" w:cs="Times New Roman"/>
                <w:color w:val="000000"/>
                <w:kern w:val="2"/>
                <w:sz w:val="24"/>
                <w:szCs w:val="21"/>
                <w:highlight w:val="none"/>
              </w:rPr>
            </w:pPr>
            <w:r>
              <w:rPr>
                <w:rFonts w:hint="eastAsia" w:ascii="方正仿宋_GBK" w:hAnsi="Times New Roman" w:eastAsia="方正仿宋_GBK" w:cs="Times New Roman"/>
                <w:color w:val="000000"/>
                <w:kern w:val="2"/>
                <w:sz w:val="24"/>
                <w:szCs w:val="21"/>
                <w:highlight w:val="none"/>
              </w:rPr>
              <w:t>1</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03" w:firstLineChars="43"/>
              <w:jc w:val="left"/>
              <w:rPr>
                <w:rFonts w:ascii="Times New Roman" w:hAnsi="Times New Roman" w:eastAsia="仿宋_GB2312" w:cs="Times New Roman"/>
                <w:color w:val="000000"/>
                <w:kern w:val="2"/>
                <w:sz w:val="24"/>
                <w:szCs w:val="24"/>
                <w:highlight w:val="none"/>
              </w:rPr>
            </w:pPr>
            <w:r>
              <w:rPr>
                <w:rFonts w:hint="eastAsia" w:ascii="Times New Roman" w:hAnsi="Times New Roman" w:eastAsia="仿宋_GB2312" w:cs="Times New Roman"/>
                <w:color w:val="000000"/>
                <w:kern w:val="2"/>
                <w:sz w:val="24"/>
                <w:szCs w:val="24"/>
                <w:highlight w:val="none"/>
              </w:rPr>
              <w:t>重庆医科大学附属口腔医院医院信息系统HIS（包括HIS、LIS、PACS、EMR）等保测评</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rFonts w:ascii="Times New Roman" w:hAnsi="Times New Roman" w:eastAsia="仿宋_GB2312" w:cs="Times New Roman"/>
                <w:color w:val="000000"/>
                <w:kern w:val="2"/>
                <w:sz w:val="24"/>
                <w:szCs w:val="24"/>
                <w:highlight w:val="none"/>
              </w:rPr>
            </w:pPr>
            <w:r>
              <w:rPr>
                <w:rFonts w:hint="eastAsia" w:ascii="Times New Roman" w:hAnsi="Times New Roman" w:eastAsia="仿宋_GB2312" w:cs="Times New Roman"/>
                <w:color w:val="000000"/>
                <w:kern w:val="2"/>
                <w:sz w:val="24"/>
                <w:szCs w:val="24"/>
                <w:highlight w:val="none"/>
              </w:rPr>
              <w:t>三级</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firstLine="0" w:firstLineChars="0"/>
              <w:jc w:val="center"/>
              <w:rPr>
                <w:rFonts w:ascii="方正仿宋_GBK" w:hAnsi="宋体" w:eastAsia="仿宋_GB2312" w:cs="Times New Roman"/>
                <w:color w:val="000000"/>
                <w:kern w:val="2"/>
                <w:sz w:val="24"/>
                <w:szCs w:val="21"/>
                <w:highlight w:val="none"/>
              </w:rPr>
            </w:pPr>
            <w:r>
              <w:rPr>
                <w:rFonts w:hint="eastAsia" w:ascii="Times New Roman" w:hAnsi="Times New Roman" w:eastAsia="仿宋_GB2312" w:cs="Times New Roman"/>
                <w:color w:val="000000"/>
                <w:kern w:val="2"/>
                <w:sz w:val="24"/>
                <w:szCs w:val="24"/>
                <w:highlight w:val="none"/>
              </w:rPr>
              <w:t>1次</w:t>
            </w: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80" w:firstLineChars="200"/>
              <w:jc w:val="center"/>
              <w:rPr>
                <w:rFonts w:ascii="宋体" w:hAnsi="宋体" w:eastAsia="仿宋_GB2312" w:cs="Times New Roman"/>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4" w:leftChars="-24" w:hanging="64" w:hangingChars="27"/>
              <w:jc w:val="center"/>
              <w:rPr>
                <w:rFonts w:ascii="方正仿宋_GBK" w:hAnsi="Times New Roman" w:eastAsia="方正仿宋_GBK" w:cs="Times New Roman"/>
                <w:color w:val="000000"/>
                <w:kern w:val="2"/>
                <w:sz w:val="24"/>
                <w:szCs w:val="21"/>
                <w:highlight w:val="none"/>
              </w:rPr>
            </w:pPr>
            <w:r>
              <w:rPr>
                <w:rFonts w:hint="eastAsia" w:ascii="方正仿宋_GBK" w:hAnsi="Times New Roman" w:eastAsia="方正仿宋_GBK" w:cs="Times New Roman"/>
                <w:color w:val="000000"/>
                <w:kern w:val="2"/>
                <w:sz w:val="24"/>
                <w:szCs w:val="21"/>
                <w:highlight w:val="none"/>
              </w:rPr>
              <w:t>2</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03" w:firstLineChars="43"/>
              <w:jc w:val="left"/>
              <w:rPr>
                <w:rFonts w:ascii="Times New Roman" w:hAnsi="Times New Roman" w:eastAsia="仿宋_GB2312" w:cs="Times New Roman"/>
                <w:color w:val="000000"/>
                <w:kern w:val="2"/>
                <w:sz w:val="24"/>
                <w:szCs w:val="24"/>
                <w:highlight w:val="none"/>
              </w:rPr>
            </w:pPr>
            <w:r>
              <w:rPr>
                <w:rFonts w:hint="eastAsia" w:ascii="Times New Roman" w:hAnsi="Times New Roman" w:eastAsia="仿宋_GB2312" w:cs="Times New Roman"/>
                <w:color w:val="000000"/>
                <w:kern w:val="2"/>
                <w:sz w:val="24"/>
                <w:szCs w:val="24"/>
                <w:highlight w:val="none"/>
              </w:rPr>
              <w:t>互联网医院（包含互联网医院、微信挂号、包含OA、科研教学等）</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rFonts w:ascii="Times New Roman" w:hAnsi="Times New Roman" w:eastAsia="仿宋_GB2312" w:cs="Times New Roman"/>
                <w:color w:val="000000"/>
                <w:kern w:val="2"/>
                <w:sz w:val="24"/>
                <w:szCs w:val="24"/>
                <w:highlight w:val="none"/>
              </w:rPr>
            </w:pPr>
            <w:r>
              <w:rPr>
                <w:rFonts w:hint="eastAsia" w:ascii="Times New Roman" w:hAnsi="Times New Roman" w:eastAsia="仿宋_GB2312" w:cs="Times New Roman"/>
                <w:color w:val="000000"/>
                <w:kern w:val="2"/>
                <w:sz w:val="24"/>
                <w:szCs w:val="24"/>
                <w:highlight w:val="none"/>
              </w:rPr>
              <w:t>三级</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firstLine="0" w:firstLineChars="0"/>
              <w:jc w:val="center"/>
              <w:rPr>
                <w:rFonts w:ascii="方正仿宋_GBK" w:hAnsi="宋体" w:eastAsia="仿宋_GB2312" w:cs="Times New Roman"/>
                <w:color w:val="000000"/>
                <w:kern w:val="2"/>
                <w:sz w:val="24"/>
                <w:szCs w:val="21"/>
                <w:highlight w:val="none"/>
              </w:rPr>
            </w:pPr>
            <w:r>
              <w:rPr>
                <w:rFonts w:hint="eastAsia" w:ascii="Times New Roman" w:hAnsi="Times New Roman" w:eastAsia="仿宋_GB2312" w:cs="Times New Roman"/>
                <w:color w:val="000000"/>
                <w:kern w:val="2"/>
                <w:sz w:val="24"/>
                <w:szCs w:val="24"/>
                <w:highlight w:val="none"/>
              </w:rPr>
              <w:t>1次</w:t>
            </w: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80" w:firstLineChars="200"/>
              <w:jc w:val="center"/>
              <w:rPr>
                <w:rFonts w:ascii="宋体" w:hAnsi="宋体" w:eastAsia="仿宋_GB2312" w:cs="Times New Roman"/>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4" w:leftChars="-24" w:hanging="64" w:hangingChars="27"/>
              <w:jc w:val="center"/>
              <w:rPr>
                <w:rFonts w:ascii="方正仿宋_GBK" w:hAnsi="Times New Roman" w:eastAsia="方正仿宋_GBK" w:cs="Times New Roman"/>
                <w:color w:val="000000"/>
                <w:kern w:val="2"/>
                <w:sz w:val="24"/>
                <w:szCs w:val="21"/>
                <w:highlight w:val="none"/>
              </w:rPr>
            </w:pPr>
            <w:r>
              <w:rPr>
                <w:rFonts w:hint="eastAsia" w:ascii="方正仿宋_GBK" w:hAnsi="Times New Roman" w:eastAsia="方正仿宋_GBK" w:cs="Times New Roman"/>
                <w:color w:val="000000"/>
                <w:kern w:val="2"/>
                <w:sz w:val="24"/>
                <w:szCs w:val="21"/>
                <w:highlight w:val="none"/>
              </w:rPr>
              <w:t>3</w:t>
            </w:r>
          </w:p>
        </w:tc>
        <w:tc>
          <w:tcPr>
            <w:tcW w:w="51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03" w:firstLineChars="43"/>
              <w:jc w:val="left"/>
              <w:rPr>
                <w:rFonts w:ascii="Times New Roman" w:hAnsi="Times New Roman" w:eastAsia="仿宋_GB2312" w:cs="Times New Roman"/>
                <w:color w:val="000000"/>
                <w:kern w:val="2"/>
                <w:sz w:val="24"/>
                <w:szCs w:val="24"/>
                <w:highlight w:val="none"/>
              </w:rPr>
            </w:pPr>
            <w:r>
              <w:rPr>
                <w:rFonts w:hint="eastAsia" w:ascii="Times New Roman" w:hAnsi="Times New Roman" w:eastAsia="仿宋_GB2312" w:cs="Times New Roman"/>
                <w:color w:val="000000"/>
                <w:kern w:val="2"/>
                <w:sz w:val="24"/>
                <w:szCs w:val="24"/>
                <w:highlight w:val="none"/>
              </w:rPr>
              <w:t>集成</w:t>
            </w:r>
            <w:r>
              <w:rPr>
                <w:rFonts w:ascii="Times New Roman" w:hAnsi="Times New Roman" w:eastAsia="仿宋_GB2312" w:cs="Times New Roman"/>
                <w:color w:val="000000"/>
                <w:kern w:val="2"/>
                <w:sz w:val="24"/>
                <w:szCs w:val="24"/>
                <w:highlight w:val="none"/>
              </w:rPr>
              <w:t>平台系统</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rFonts w:ascii="Times New Roman" w:hAnsi="Times New Roman" w:eastAsia="仿宋_GB2312" w:cs="Times New Roman"/>
                <w:color w:val="000000"/>
                <w:kern w:val="2"/>
                <w:sz w:val="24"/>
                <w:szCs w:val="24"/>
                <w:highlight w:val="none"/>
              </w:rPr>
            </w:pPr>
            <w:r>
              <w:rPr>
                <w:rFonts w:hint="eastAsia" w:ascii="Times New Roman" w:hAnsi="Times New Roman" w:eastAsia="仿宋_GB2312" w:cs="Times New Roman"/>
                <w:color w:val="000000"/>
                <w:kern w:val="2"/>
                <w:sz w:val="24"/>
                <w:szCs w:val="24"/>
                <w:highlight w:val="none"/>
              </w:rPr>
              <w:t>三级</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0" w:leftChars="0" w:firstLine="0" w:firstLineChars="0"/>
              <w:jc w:val="center"/>
              <w:rPr>
                <w:rFonts w:ascii="方正仿宋_GBK" w:hAnsi="宋体" w:eastAsia="仿宋_GB2312" w:cs="Times New Roman"/>
                <w:color w:val="000000"/>
                <w:kern w:val="2"/>
                <w:sz w:val="24"/>
                <w:szCs w:val="21"/>
                <w:highlight w:val="none"/>
              </w:rPr>
            </w:pPr>
            <w:r>
              <w:rPr>
                <w:rFonts w:hint="eastAsia" w:ascii="Times New Roman" w:hAnsi="Times New Roman" w:eastAsia="仿宋_GB2312" w:cs="Times New Roman"/>
                <w:color w:val="000000"/>
                <w:kern w:val="2"/>
                <w:sz w:val="24"/>
                <w:szCs w:val="24"/>
                <w:highlight w:val="none"/>
              </w:rPr>
              <w:t>1次</w:t>
            </w: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80" w:firstLineChars="200"/>
              <w:jc w:val="center"/>
              <w:rPr>
                <w:rFonts w:ascii="宋体" w:hAnsi="宋体" w:eastAsia="仿宋_GB2312" w:cs="Times New Roman"/>
                <w:color w:val="000000"/>
                <w:kern w:val="2"/>
                <w:sz w:val="24"/>
                <w:szCs w:val="24"/>
                <w:highlight w:val="none"/>
              </w:rPr>
            </w:pPr>
          </w:p>
        </w:tc>
      </w:tr>
    </w:tbl>
    <w:p>
      <w:pPr>
        <w:keepNext/>
        <w:keepLines/>
        <w:widowControl w:val="0"/>
        <w:adjustRightInd w:val="0"/>
        <w:snapToGrid w:val="0"/>
        <w:spacing w:line="400" w:lineRule="exact"/>
        <w:ind w:firstLine="562" w:firstLineChars="200"/>
        <w:outlineLvl w:val="1"/>
        <w:rPr>
          <w:rFonts w:hint="eastAsia" w:ascii="宋体" w:hAnsi="宋体" w:eastAsia="仿宋_GB2312" w:cs="Times New Roman"/>
          <w:b/>
          <w:color w:val="auto"/>
          <w:kern w:val="2"/>
          <w:sz w:val="28"/>
          <w:highlight w:val="none"/>
          <w:lang w:val="en-US" w:eastAsia="zh-CN" w:bidi="ar-SA"/>
        </w:rPr>
      </w:pPr>
    </w:p>
    <w:p>
      <w:pPr>
        <w:keepNext/>
        <w:keepLines/>
        <w:widowControl w:val="0"/>
        <w:adjustRightInd w:val="0"/>
        <w:snapToGrid w:val="0"/>
        <w:spacing w:line="400" w:lineRule="exact"/>
        <w:ind w:firstLine="562" w:firstLineChars="200"/>
        <w:outlineLvl w:val="1"/>
        <w:rPr>
          <w:rFonts w:hint="eastAsia" w:ascii="宋体" w:hAnsi="宋体" w:eastAsia="仿宋_GB2312" w:cs="Times New Roman"/>
          <w:b/>
          <w:color w:val="auto"/>
          <w:kern w:val="2"/>
          <w:sz w:val="28"/>
          <w:highlight w:val="none"/>
          <w:lang w:val="en-US" w:eastAsia="zh-CN" w:bidi="ar-SA"/>
        </w:rPr>
      </w:pPr>
      <w:r>
        <w:rPr>
          <w:rFonts w:hint="eastAsia" w:ascii="宋体" w:hAnsi="宋体" w:eastAsia="仿宋_GB2312" w:cs="Times New Roman"/>
          <w:b/>
          <w:color w:val="auto"/>
          <w:kern w:val="2"/>
          <w:sz w:val="28"/>
          <w:highlight w:val="none"/>
          <w:lang w:val="en-US" w:eastAsia="zh-CN" w:bidi="ar-SA"/>
        </w:rPr>
        <w:t>二、项目技术服务要求</w:t>
      </w:r>
      <w:bookmarkEnd w:id="11"/>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lang w:val="en-US" w:eastAsia="zh-CN"/>
        </w:rPr>
        <w:t>2.1</w:t>
      </w:r>
      <w:r>
        <w:rPr>
          <w:rFonts w:hint="eastAsia" w:ascii="Times New Roman" w:hAnsi="Times New Roman" w:eastAsia="仿宋_GB2312" w:cs="Times New Roman"/>
          <w:color w:val="auto"/>
          <w:kern w:val="2"/>
          <w:sz w:val="24"/>
          <w:szCs w:val="24"/>
          <w:highlight w:val="none"/>
        </w:rPr>
        <w:t>信息系统概况：</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本次进行等级保护测评服务的为：医院信息系统（主要指HIS,包含LIS,PACS，EMR等）（三级）、互联网医院（主要指互联网医院，微信挂号、包含OA、科研教学等）（三级）、集成平台系统（三级）。</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2.2 测评依据:</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本项目信息安全等级保护测评目的和测评内容，必须与信息安全等级保护要求的基本安全控制要求相一致。内容按照GB/T 22239-2019《信息安全技术 信息系统安全等级保护基本要求》等国家相关标准进行测评，确保测评结论真实性。其他测评规范性文件还需参照：</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《信息安全等级保护管理办法》（公通字〔2007〕43号）</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《中华人民共和国计算机信息系统安全保护条例》（国务院147号令）</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《信息安全等级保护备案实施细则》</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22240-2008 《信息安全技术信息系统安全保护等级定级指南》；</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17859-1999 《计算机信息系统安全等级保护划分准则》；</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25058-2019 《信息安全技术信息系统安全等级保护实施指南》；</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28448-2019《信息安全技术信息系统安全等级保护测评要求》；</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28449-2019《信息安全技术信息系统安全等级保护测评过程指南》；</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25070-2019 《信息安全技术信息系统等级保护安全设计技术要求》；</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20271-2006 《信息安全技术信息系统通用安全技术要求》；</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20270-2006 《信息安全技术网络基础安全技术要求》；</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21052-2007 《信息安全技术信息系统物理安全技术要求》；</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20274 《信息安全技术信息系统安全保障评估框架》；</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20282-2006 《信息安全技术信息系统安全工程管理要求》；</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20269-2006 《信息安全技术信息系统安全管理要求》；</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GB/T 20984-2007 《信息安全技术信息安全风险评估规范》；</w:t>
      </w:r>
    </w:p>
    <w:p>
      <w:pPr>
        <w:spacing w:line="400" w:lineRule="exact"/>
        <w:ind w:firstLine="424" w:firstLineChars="177"/>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2.3测评内容:</w:t>
      </w:r>
    </w:p>
    <w:p>
      <w:pPr>
        <w:spacing w:line="400" w:lineRule="exact"/>
        <w:ind w:firstLine="480" w:firstLineChars="200"/>
        <w:jc w:val="left"/>
        <w:rPr>
          <w:rFonts w:ascii="Times New Roman" w:hAnsi="Times New Roman" w:eastAsia="仿宋_GB2312" w:cs="宋体"/>
          <w:color w:val="auto"/>
          <w:kern w:val="2"/>
          <w:sz w:val="24"/>
          <w:szCs w:val="24"/>
          <w:highlight w:val="none"/>
        </w:rPr>
      </w:pPr>
      <w:r>
        <w:rPr>
          <w:rFonts w:hint="eastAsia" w:ascii="Times New Roman" w:hAnsi="Times New Roman" w:eastAsia="仿宋_GB2312" w:cs="Times New Roman"/>
          <w:color w:val="auto"/>
          <w:kern w:val="2"/>
          <w:sz w:val="24"/>
          <w:szCs w:val="24"/>
          <w:highlight w:val="none"/>
        </w:rPr>
        <w:t>安全保护等级为三级的，测评指标应包括GB/T 22239-2019“技术要求”中的3级通用指标类（G3），3级业务信息安全指标类（S3），3级系统服务安全指标类（A3），以及第3级“管理要求”中的全部指标类。从安全物理环境、安全通信网络、安全区域边界、安全计算环境和安全管理中心五个技术层面和安全管理制度、安全管理机构、安全管理人员、安全建设管理和安全运维管理五个管理层面，对重庆医科大学附属口腔医院HIS系统（主要指HIS,包含LIS,PACS，EMR等）、互联网医院（主要指互联网医院，微信挂号，包含OA、科研教学等）、集成平台系统行等级测评，找出系统安全保护现状与所定等级的保护要求之间的差距，分析差距可能导致的系统风险，给出等级测评结论并形成系统测评报告。</w:t>
      </w:r>
    </w:p>
    <w:p>
      <w:pPr>
        <w:spacing w:line="400" w:lineRule="exact"/>
        <w:ind w:left="0" w:leftChars="0" w:firstLine="0" w:firstLineChars="0"/>
        <w:jc w:val="left"/>
        <w:rPr>
          <w:rFonts w:hint="eastAsia" w:ascii="Times New Roman" w:hAnsi="Times New Roman" w:eastAsia="仿宋_GB2312" w:cs="宋体"/>
          <w:color w:val="auto"/>
          <w:kern w:val="2"/>
          <w:sz w:val="24"/>
          <w:szCs w:val="24"/>
          <w:highlight w:val="none"/>
        </w:rPr>
      </w:pPr>
      <w:r>
        <w:rPr>
          <w:rFonts w:hint="eastAsia" w:ascii="Times New Roman" w:hAnsi="Times New Roman" w:eastAsia="仿宋_GB2312" w:cs="宋体"/>
          <w:color w:val="auto"/>
          <w:kern w:val="2"/>
          <w:sz w:val="24"/>
          <w:szCs w:val="24"/>
          <w:highlight w:val="none"/>
        </w:rPr>
        <w:t>本次测评的详细测评指标情况，如下表1所示：</w:t>
      </w:r>
    </w:p>
    <w:tbl>
      <w:tblPr>
        <w:tblStyle w:val="10"/>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780" w:type="dxa"/>
            <w:tcBorders>
              <w:top w:val="single" w:color="auto" w:sz="4" w:space="0"/>
              <w:left w:val="single" w:color="auto" w:sz="4" w:space="0"/>
              <w:bottom w:val="single" w:color="auto" w:sz="4" w:space="0"/>
              <w:right w:val="single" w:color="auto" w:sz="4" w:space="0"/>
            </w:tcBorders>
            <w:noWrap w:val="0"/>
            <w:vAlign w:val="center"/>
          </w:tcPr>
          <w:tbl>
            <w:tblPr>
              <w:tblStyle w:val="10"/>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988"/>
              <w:gridCol w:w="862"/>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安全类别</w:t>
                  </w:r>
                </w:p>
              </w:tc>
              <w:tc>
                <w:tcPr>
                  <w:tcW w:w="1988"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安全层面</w:t>
                  </w:r>
                </w:p>
              </w:tc>
              <w:tc>
                <w:tcPr>
                  <w:tcW w:w="862"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序号</w:t>
                  </w:r>
                </w:p>
              </w:tc>
              <w:tc>
                <w:tcPr>
                  <w:tcW w:w="3849" w:type="dxa"/>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测评指标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restart"/>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技术安全</w:t>
                  </w:r>
                </w:p>
              </w:tc>
              <w:tc>
                <w:tcPr>
                  <w:tcW w:w="1988" w:type="dxa"/>
                  <w:vMerge w:val="restart"/>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8.1.1 安全物理环境</w:t>
                  </w: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1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8.1.1.1 物理位置选择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2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8.1.1.2 物理访问控制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3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8.1.1.3 防盗窃和防破坏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4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8.1.1.4 防雷击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8.1.1.5 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6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8.1.1.6 防水和防潮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7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8.1.1.7 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8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8.1.1.8 温湿度控制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9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8.1.1.9 电力供应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10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8.1.1.10 电磁防护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restart"/>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8.1.2 安全通信网络</w:t>
                  </w: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11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8.1.2.1 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12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8.1.2.2 通信传输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13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8.1.2.3 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restart"/>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8.1.3 安全区域边界</w:t>
                  </w: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14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8.1.3.1 边界防护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15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8.1.3.2 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16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8.1.3.3入侵防范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17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8.1.3.4 恶意代码和垃圾邮件防范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18</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8.1.3.5 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19</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8.1.3.6 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restart"/>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8.1.4 安全计算环境</w:t>
                  </w: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20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8.1.4.1 身份鉴别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21</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8.1.4.2 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22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8.1.4.3 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23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8.1.4.4 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24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8.1.4.5 恶意代码防范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25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8.1.4.6 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26</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8.1.4.7 数据完整性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27</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8.1.4.8 数据保密性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28</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8.1.4.9 数据备份与恢复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29</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8.1.4.10 剩余信息保护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30</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8.1.4.11 个人信息保护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restart"/>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8.1.5 安全管理中心</w:t>
                  </w: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31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8.1.5.1 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32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8.1.5.2 审计管理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33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8.1.5.3 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34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lang w:val="de-DE"/>
                    </w:rPr>
                    <w:t>8.1.5.4 集中管控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restart"/>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管理安全</w:t>
                  </w:r>
                </w:p>
              </w:tc>
              <w:tc>
                <w:tcPr>
                  <w:tcW w:w="1988" w:type="dxa"/>
                  <w:vMerge w:val="restart"/>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8.1.6 安全管理制度</w:t>
                  </w: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35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8.1.6.1 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36</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8.1.6.2 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37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8.1.6.3 制定和发布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38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8.1.6.4 评审和修订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restart"/>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8.1.7 安全管理机构</w:t>
                  </w: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39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8.1.7.1 岗位设置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40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8.1.7.2 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41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8.1.7.3 授权和审批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42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8.1.7.4 沟通和合作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43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8.1.7.5 审核和检查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restart"/>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8.1.8 安全管理人员</w:t>
                  </w: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44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8.1.8.1 人员录用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45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8.1.8.2 人员离岗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46</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8.1.8.3 安全意识教育和培训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47</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8.1.8.4 外部人员访问管理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restart"/>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8.1.9 安全建设管理</w:t>
                  </w: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48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8.1.9.1 定级和备案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49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8.1.9.2 安全方案设计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50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8.1.9.3 产品采购和使用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51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8.1.9.4 自行软件开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52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8.1.9.5 外包软件开发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53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8.1.9.6 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54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8.1.9.7 测试验收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55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8.1.9.8 系统交付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56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8.1.9.9 等级测评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57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8.1.9.10 服务商供应商选择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p>
              </w:tc>
              <w:tc>
                <w:tcPr>
                  <w:tcW w:w="1988" w:type="dxa"/>
                  <w:vMerge w:val="restart"/>
                  <w:noWrap w:val="0"/>
                  <w:vAlign w:val="center"/>
                </w:tcPr>
                <w:p>
                  <w:pPr>
                    <w:spacing w:line="240" w:lineRule="auto"/>
                    <w:ind w:firstLine="48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b/>
                      <w:bCs/>
                      <w:color w:val="auto"/>
                      <w:kern w:val="2"/>
                      <w:sz w:val="18"/>
                      <w:szCs w:val="21"/>
                      <w:highlight w:val="none"/>
                    </w:rPr>
                    <w:t>8.1.10 安全运维管理</w:t>
                  </w: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58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8.1.10.1 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59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8.1.10.2 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60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8.1.10.3 介质管理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61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8.1.10.4 设备维护管理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62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8.1.10.5 漏洞和风险管理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63 </w:t>
                  </w:r>
                </w:p>
              </w:tc>
              <w:tc>
                <w:tcPr>
                  <w:tcW w:w="3849" w:type="dxa"/>
                  <w:noWrap w:val="0"/>
                  <w:vAlign w:val="center"/>
                </w:tcPr>
                <w:p>
                  <w:pPr>
                    <w:spacing w:line="240" w:lineRule="auto"/>
                    <w:ind w:firstLine="0" w:firstLineChars="0"/>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8.1.10.6 网络和系统安全管理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64 </w:t>
                  </w:r>
                </w:p>
              </w:tc>
              <w:tc>
                <w:tcPr>
                  <w:tcW w:w="3849" w:type="dxa"/>
                  <w:noWrap w:val="0"/>
                  <w:vAlign w:val="center"/>
                </w:tcPr>
                <w:p>
                  <w:pPr>
                    <w:spacing w:line="240" w:lineRule="auto"/>
                    <w:ind w:firstLine="12" w:firstLineChars="7"/>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8.1.10.7 恶意代码防范管理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65</w:t>
                  </w:r>
                </w:p>
              </w:tc>
              <w:tc>
                <w:tcPr>
                  <w:tcW w:w="3849" w:type="dxa"/>
                  <w:noWrap w:val="0"/>
                  <w:vAlign w:val="center"/>
                </w:tcPr>
                <w:p>
                  <w:pPr>
                    <w:spacing w:line="240" w:lineRule="auto"/>
                    <w:ind w:firstLine="12" w:firstLineChars="7"/>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8.1.10.8 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66 </w:t>
                  </w:r>
                </w:p>
              </w:tc>
              <w:tc>
                <w:tcPr>
                  <w:tcW w:w="3849" w:type="dxa"/>
                  <w:noWrap w:val="0"/>
                  <w:vAlign w:val="center"/>
                </w:tcPr>
                <w:p>
                  <w:pPr>
                    <w:spacing w:line="240" w:lineRule="auto"/>
                    <w:ind w:firstLine="12" w:firstLineChars="7"/>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8.1.10.9 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67 </w:t>
                  </w:r>
                </w:p>
              </w:tc>
              <w:tc>
                <w:tcPr>
                  <w:tcW w:w="3849" w:type="dxa"/>
                  <w:noWrap w:val="0"/>
                  <w:vAlign w:val="center"/>
                </w:tcPr>
                <w:p>
                  <w:pPr>
                    <w:spacing w:line="240" w:lineRule="auto"/>
                    <w:ind w:firstLine="12" w:firstLineChars="7"/>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8.1.10.10 变更管理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68 </w:t>
                  </w:r>
                </w:p>
              </w:tc>
              <w:tc>
                <w:tcPr>
                  <w:tcW w:w="3849" w:type="dxa"/>
                  <w:noWrap w:val="0"/>
                  <w:vAlign w:val="center"/>
                </w:tcPr>
                <w:p>
                  <w:pPr>
                    <w:spacing w:line="240" w:lineRule="auto"/>
                    <w:ind w:firstLine="12" w:firstLineChars="7"/>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8.1.10.11 备份与恢复管理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69 </w:t>
                  </w:r>
                </w:p>
              </w:tc>
              <w:tc>
                <w:tcPr>
                  <w:tcW w:w="3849" w:type="dxa"/>
                  <w:noWrap w:val="0"/>
                  <w:vAlign w:val="center"/>
                </w:tcPr>
                <w:p>
                  <w:pPr>
                    <w:spacing w:line="240" w:lineRule="auto"/>
                    <w:ind w:firstLine="12" w:firstLineChars="7"/>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8.1.10.12 安全事件处置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 xml:space="preserve">70 </w:t>
                  </w:r>
                </w:p>
              </w:tc>
              <w:tc>
                <w:tcPr>
                  <w:tcW w:w="3849" w:type="dxa"/>
                  <w:noWrap w:val="0"/>
                  <w:vAlign w:val="center"/>
                </w:tcPr>
                <w:p>
                  <w:pPr>
                    <w:spacing w:line="240" w:lineRule="auto"/>
                    <w:ind w:firstLine="12" w:firstLineChars="7"/>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8.1.10.13 应急预案管理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2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1988" w:type="dxa"/>
                  <w:vMerge w:val="continue"/>
                  <w:noWrap w:val="0"/>
                  <w:vAlign w:val="center"/>
                </w:tcPr>
                <w:p>
                  <w:pPr>
                    <w:spacing w:line="240" w:lineRule="auto"/>
                    <w:ind w:firstLine="480" w:firstLineChars="0"/>
                    <w:jc w:val="both"/>
                    <w:rPr>
                      <w:rFonts w:ascii="Times New Roman" w:hAnsi="Times New Roman" w:eastAsia="宋体" w:cs="Times New Roman"/>
                      <w:color w:val="auto"/>
                      <w:kern w:val="2"/>
                      <w:sz w:val="18"/>
                      <w:szCs w:val="21"/>
                      <w:highlight w:val="none"/>
                    </w:rPr>
                  </w:pPr>
                </w:p>
              </w:tc>
              <w:tc>
                <w:tcPr>
                  <w:tcW w:w="862" w:type="dxa"/>
                  <w:noWrap w:val="0"/>
                  <w:vAlign w:val="center"/>
                </w:tcPr>
                <w:p>
                  <w:pPr>
                    <w:spacing w:line="240" w:lineRule="auto"/>
                    <w:ind w:firstLine="0" w:firstLineChars="0"/>
                    <w:jc w:val="both"/>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1"/>
                      <w:highlight w:val="none"/>
                    </w:rPr>
                    <w:t>71</w:t>
                  </w:r>
                </w:p>
              </w:tc>
              <w:tc>
                <w:tcPr>
                  <w:tcW w:w="3849" w:type="dxa"/>
                  <w:noWrap w:val="0"/>
                  <w:vAlign w:val="center"/>
                </w:tcPr>
                <w:p>
                  <w:pPr>
                    <w:spacing w:line="240" w:lineRule="auto"/>
                    <w:ind w:firstLine="12" w:firstLineChars="7"/>
                    <w:jc w:val="center"/>
                    <w:rPr>
                      <w:rFonts w:ascii="Times New Roman" w:hAnsi="Times New Roman" w:eastAsia="宋体" w:cs="Times New Roman"/>
                      <w:color w:val="auto"/>
                      <w:kern w:val="2"/>
                      <w:sz w:val="18"/>
                      <w:szCs w:val="21"/>
                      <w:highlight w:val="none"/>
                    </w:rPr>
                  </w:pPr>
                  <w:r>
                    <w:rPr>
                      <w:rFonts w:hint="eastAsia" w:ascii="方正仿宋_GBK" w:hAnsi="方正仿宋_GBK" w:eastAsia="方正仿宋_GBK" w:cs="方正仿宋_GBK"/>
                      <w:color w:val="auto"/>
                      <w:kern w:val="2"/>
                      <w:sz w:val="18"/>
                      <w:szCs w:val="20"/>
                      <w:highlight w:val="none"/>
                    </w:rPr>
                    <w:t>8.1.10.14外包运维管理</w:t>
                  </w:r>
                </w:p>
              </w:tc>
            </w:tr>
          </w:tbl>
          <w:p>
            <w:pPr>
              <w:adjustRightInd w:val="0"/>
              <w:snapToGrid w:val="0"/>
              <w:spacing w:line="276" w:lineRule="auto"/>
              <w:ind w:firstLine="0" w:firstLineChars="0"/>
              <w:jc w:val="both"/>
              <w:rPr>
                <w:rFonts w:ascii="宋体" w:hAnsi="宋体" w:eastAsia="宋体" w:cs="宋体"/>
                <w:color w:val="auto"/>
                <w:kern w:val="2"/>
                <w:sz w:val="21"/>
                <w:szCs w:val="21"/>
                <w:highlight w:val="none"/>
              </w:rPr>
            </w:pPr>
          </w:p>
        </w:tc>
      </w:tr>
    </w:tbl>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2.4工具测试:</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使用专业的安全分析工具对待测系统进行安全分析,最终形成扫描、渗透报告。</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2.5信息系统安全保护等级测评工作要求:</w:t>
      </w:r>
    </w:p>
    <w:p>
      <w:pPr>
        <w:spacing w:line="400" w:lineRule="exact"/>
        <w:ind w:firstLine="566" w:firstLineChars="236"/>
        <w:jc w:val="left"/>
        <w:rPr>
          <w:rFonts w:ascii="Times New Roman" w:hAnsi="Times New Roman" w:eastAsia="仿宋_GB2312" w:cs="Times New Roman"/>
          <w:color w:val="000000" w:themeColor="text1"/>
          <w:kern w:val="2"/>
          <w:sz w:val="24"/>
          <w:szCs w:val="24"/>
          <w:highlight w:val="none"/>
          <w14:textFill>
            <w14:solidFill>
              <w14:schemeClr w14:val="tx1"/>
            </w14:solidFill>
          </w14:textFill>
        </w:rPr>
      </w:pPr>
      <w:r>
        <w:rPr>
          <w:rFonts w:hint="eastAsia" w:ascii="Times New Roman" w:hAnsi="Times New Roman" w:eastAsia="仿宋_GB2312" w:cs="Times New Roman"/>
          <w:color w:val="auto"/>
          <w:kern w:val="2"/>
          <w:sz w:val="24"/>
          <w:szCs w:val="24"/>
          <w:highlight w:val="none"/>
        </w:rPr>
        <w:t>在</w:t>
      </w:r>
      <w:r>
        <w:rPr>
          <w:rFonts w:hint="eastAsia" w:ascii="Times New Roman" w:hAnsi="Times New Roman" w:eastAsia="仿宋_GB2312" w:cs="Times New Roman"/>
          <w:color w:val="auto"/>
          <w:kern w:val="2"/>
          <w:sz w:val="24"/>
          <w:szCs w:val="24"/>
          <w:highlight w:val="none"/>
          <w:lang w:eastAsia="zh-CN"/>
        </w:rPr>
        <w:t>投标人</w:t>
      </w:r>
      <w:r>
        <w:rPr>
          <w:rFonts w:hint="eastAsia" w:ascii="Times New Roman" w:hAnsi="Times New Roman" w:eastAsia="仿宋_GB2312" w:cs="Times New Roman"/>
          <w:color w:val="auto"/>
          <w:kern w:val="2"/>
          <w:sz w:val="24"/>
          <w:szCs w:val="24"/>
          <w:highlight w:val="none"/>
        </w:rPr>
        <w:t>的技术应标书中，提供针对本项目建设的详细实施计划，提供本项目详细工作实施组织方案，包括</w:t>
      </w:r>
      <w:r>
        <w:rPr>
          <w:rFonts w:ascii="Times New Roman" w:hAnsi="Times New Roman" w:eastAsia="仿宋_GB2312" w:cs="Times New Roman"/>
          <w:color w:val="auto"/>
          <w:kern w:val="2"/>
          <w:sz w:val="24"/>
          <w:szCs w:val="24"/>
          <w:highlight w:val="none"/>
        </w:rPr>
        <w:t>(</w:t>
      </w:r>
      <w:r>
        <w:rPr>
          <w:rFonts w:hint="eastAsia" w:ascii="Times New Roman" w:hAnsi="Times New Roman" w:eastAsia="仿宋_GB2312" w:cs="Times New Roman"/>
          <w:color w:val="auto"/>
          <w:kern w:val="2"/>
          <w:sz w:val="24"/>
          <w:szCs w:val="24"/>
          <w:highlight w:val="none"/>
        </w:rPr>
        <w:t>但不限于</w:t>
      </w:r>
      <w:r>
        <w:rPr>
          <w:rFonts w:ascii="Times New Roman" w:hAnsi="Times New Roman" w:eastAsia="仿宋_GB2312" w:cs="Times New Roman"/>
          <w:color w:val="auto"/>
          <w:kern w:val="2"/>
          <w:sz w:val="24"/>
          <w:szCs w:val="24"/>
          <w:highlight w:val="none"/>
        </w:rPr>
        <w:t>)</w:t>
      </w:r>
      <w:r>
        <w:rPr>
          <w:rFonts w:hint="eastAsia" w:ascii="Times New Roman" w:hAnsi="Times New Roman" w:eastAsia="仿宋_GB2312" w:cs="Times New Roman"/>
          <w:color w:val="auto"/>
          <w:kern w:val="2"/>
          <w:sz w:val="24"/>
          <w:szCs w:val="24"/>
          <w:highlight w:val="none"/>
        </w:rPr>
        <w:t>以下内容：组织机构、工作时间进度表、工作程序和步骤、管理和协调方法、关键步骤的思路和要</w:t>
      </w:r>
      <w:r>
        <w:rPr>
          <w:rFonts w:hint="eastAsia" w:ascii="Times New Roman" w:hAnsi="Times New Roman" w:eastAsia="仿宋_GB2312" w:cs="Times New Roman"/>
          <w:color w:val="000000" w:themeColor="text1"/>
          <w:kern w:val="2"/>
          <w:sz w:val="24"/>
          <w:szCs w:val="24"/>
          <w:highlight w:val="none"/>
          <w14:textFill>
            <w14:solidFill>
              <w14:schemeClr w14:val="tx1"/>
            </w14:solidFill>
          </w14:textFill>
        </w:rPr>
        <w:t>点。</w:t>
      </w:r>
      <w:r>
        <w:rPr>
          <w:rFonts w:hint="eastAsia" w:ascii="Times New Roman" w:hAnsi="宋体" w:eastAsia="仿宋_GB2312" w:cs="Times New Roman"/>
          <w:snapToGrid w:val="0"/>
          <w:color w:val="000000" w:themeColor="text1"/>
          <w:kern w:val="2"/>
          <w:sz w:val="24"/>
          <w:highlight w:val="none"/>
          <w14:textFill>
            <w14:solidFill>
              <w14:schemeClr w14:val="tx1"/>
            </w14:solidFill>
          </w14:textFill>
        </w:rPr>
        <w:t>在项目实施过程中，中标的等保测评机构应成立相应的项目组，并指定一名专职的项目经理，</w:t>
      </w:r>
      <w:r>
        <w:rPr>
          <w:rFonts w:hint="eastAsia" w:ascii="Times New Roman" w:hAnsi="Times New Roman" w:eastAsia="仿宋_GB2312" w:cs="Times New Roman"/>
          <w:color w:val="000000" w:themeColor="text1"/>
          <w:kern w:val="2"/>
          <w:sz w:val="24"/>
          <w:szCs w:val="24"/>
          <w:highlight w:val="none"/>
          <w14:textFill>
            <w14:solidFill>
              <w14:schemeClr w14:val="tx1"/>
            </w14:solidFill>
          </w14:textFill>
        </w:rPr>
        <w:t>项目经理需为中级测评师及以上</w:t>
      </w:r>
      <w:r>
        <w:rPr>
          <w:rFonts w:hint="eastAsia" w:ascii="Times New Roman" w:hAnsi="Times New Roman" w:eastAsia="仿宋_GB2312" w:cs="Times New Roman"/>
          <w:color w:val="000000" w:themeColor="text1"/>
          <w:kern w:val="2"/>
          <w:sz w:val="24"/>
          <w:szCs w:val="24"/>
          <w:highlight w:val="none"/>
          <w:lang w:eastAsia="zh-CN"/>
          <w14:textFill>
            <w14:solidFill>
              <w14:schemeClr w14:val="tx1"/>
            </w14:solidFill>
          </w14:textFill>
        </w:rPr>
        <w:t>。</w:t>
      </w:r>
      <w:r>
        <w:rPr>
          <w:rFonts w:hint="eastAsia" w:ascii="Times New Roman" w:hAnsi="宋体" w:eastAsia="仿宋_GB2312" w:cs="Times New Roman"/>
          <w:snapToGrid w:val="0"/>
          <w:color w:val="000000" w:themeColor="text1"/>
          <w:kern w:val="2"/>
          <w:sz w:val="24"/>
          <w:highlight w:val="none"/>
          <w14:textFill>
            <w14:solidFill>
              <w14:schemeClr w14:val="tx1"/>
            </w14:solidFill>
          </w14:textFill>
        </w:rPr>
        <w:t>主要负责人力资源调度、项目的总体计划、与采购人协调和项目调度等工作。</w:t>
      </w:r>
    </w:p>
    <w:p>
      <w:pPr>
        <w:spacing w:line="400" w:lineRule="exact"/>
        <w:ind w:firstLine="566" w:firstLineChars="236"/>
        <w:jc w:val="left"/>
        <w:rPr>
          <w:rFonts w:ascii="Times New Roman" w:hAnsi="Times New Roman" w:eastAsia="仿宋_GB2312" w:cs="Times New Roman"/>
          <w:color w:val="000000" w:themeColor="text1"/>
          <w:kern w:val="2"/>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kern w:val="2"/>
          <w:sz w:val="24"/>
          <w:szCs w:val="24"/>
          <w:highlight w:val="none"/>
          <w14:textFill>
            <w14:solidFill>
              <w14:schemeClr w14:val="tx1"/>
            </w14:solidFill>
          </w14:textFill>
        </w:rPr>
        <w:t>2.6信息系统安全保护整改:</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根据测评结果和风险分析结果，提供详细的整改建议指导服务，其内容包含技术和管理两大方面。技术方面应包含：物理安全、网络安全、主机安全、应用安全、工具扫描和数据安全及备份恢复。管理方面应包含：安全管理制度、安全管理机构、人员安全管理、系统建设安全管理和系统运维安全管理。</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2.7质量保证及售后服务：</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1、测评指标和测评对象确定须符合国家标准《GB/T 22239-2019信息安全技术-网络安全等级保护基本要求》等相关标准的要求。测评过程和结论需执行《 GB/T 28449-2018 信息安全技术 网络安全等级保护测评过程指南》和《 GB/T 22239-2019 信息安全技术 网络安全等级保护基本要求》的相关要求。中标单位应提供相关的安全咨询技术服务。提供的整改建议要有高度的性价比并且符合等保测评的相关规定。</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2</w:t>
      </w:r>
      <w:r>
        <w:rPr>
          <w:rFonts w:hint="eastAsia" w:ascii="Times New Roman" w:hAnsi="Times New Roman" w:eastAsia="仿宋_GB2312" w:cs="Times New Roman"/>
          <w:color w:val="auto"/>
          <w:kern w:val="2"/>
          <w:sz w:val="24"/>
          <w:szCs w:val="24"/>
          <w:highlight w:val="none"/>
        </w:rPr>
        <w:t>、</w:t>
      </w:r>
      <w:bookmarkStart w:id="12" w:name="_Hlk67470751"/>
      <w:r>
        <w:rPr>
          <w:rFonts w:hint="eastAsia" w:ascii="Times New Roman" w:hAnsi="Times New Roman" w:eastAsia="仿宋_GB2312" w:cs="Times New Roman"/>
          <w:color w:val="auto"/>
          <w:kern w:val="2"/>
          <w:sz w:val="24"/>
          <w:szCs w:val="24"/>
          <w:highlight w:val="none"/>
        </w:rPr>
        <w:t>中标的</w:t>
      </w:r>
      <w:r>
        <w:rPr>
          <w:rFonts w:ascii="Times New Roman" w:hAnsi="Times New Roman" w:eastAsia="仿宋_GB2312" w:cs="Times New Roman"/>
          <w:color w:val="auto"/>
          <w:kern w:val="2"/>
          <w:sz w:val="24"/>
          <w:szCs w:val="24"/>
          <w:highlight w:val="none"/>
        </w:rPr>
        <w:t>等保测评机构</w:t>
      </w:r>
      <w:bookmarkEnd w:id="12"/>
      <w:r>
        <w:rPr>
          <w:rFonts w:hint="eastAsia" w:ascii="Times New Roman" w:hAnsi="Times New Roman" w:eastAsia="仿宋_GB2312" w:cs="Times New Roman"/>
          <w:color w:val="auto"/>
          <w:kern w:val="2"/>
          <w:sz w:val="24"/>
          <w:szCs w:val="24"/>
          <w:highlight w:val="none"/>
        </w:rPr>
        <w:t>应为我院提供提供完善信息安全管理体系、信息安全目标战、IT安全基础、安全防护措施，为被测信息系统建立风险评估和整改机制，确保安全防护体系的有效性，符合信息安全等级保护要求。</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3、中标的</w:t>
      </w:r>
      <w:r>
        <w:rPr>
          <w:rFonts w:ascii="Times New Roman" w:hAnsi="Times New Roman" w:eastAsia="仿宋_GB2312" w:cs="Times New Roman"/>
          <w:color w:val="auto"/>
          <w:kern w:val="2"/>
          <w:sz w:val="24"/>
          <w:szCs w:val="24"/>
          <w:highlight w:val="none"/>
        </w:rPr>
        <w:t>等保测评</w:t>
      </w:r>
      <w:r>
        <w:rPr>
          <w:rFonts w:hint="eastAsia" w:ascii="Times New Roman" w:hAnsi="Times New Roman" w:eastAsia="仿宋_GB2312" w:cs="Times New Roman"/>
          <w:color w:val="auto"/>
          <w:kern w:val="2"/>
          <w:sz w:val="24"/>
          <w:szCs w:val="24"/>
          <w:highlight w:val="none"/>
        </w:rPr>
        <w:t>单位</w:t>
      </w:r>
      <w:r>
        <w:rPr>
          <w:rFonts w:ascii="Times New Roman" w:hAnsi="Times New Roman" w:eastAsia="仿宋_GB2312" w:cs="Times New Roman"/>
          <w:color w:val="auto"/>
          <w:kern w:val="2"/>
          <w:sz w:val="24"/>
          <w:szCs w:val="24"/>
          <w:highlight w:val="none"/>
        </w:rPr>
        <w:t>应按照等级保护测评要求制定测评详细计划和方案。</w:t>
      </w:r>
      <w:r>
        <w:rPr>
          <w:rFonts w:hint="eastAsia" w:ascii="Times New Roman" w:hAnsi="Times New Roman" w:eastAsia="仿宋_GB2312" w:cs="Times New Roman"/>
          <w:color w:val="auto"/>
          <w:kern w:val="2"/>
          <w:sz w:val="24"/>
          <w:szCs w:val="24"/>
          <w:highlight w:val="none"/>
        </w:rPr>
        <w:t>测评过程中，应针对重要的主机操作系统、数据库系统、信息系统、网络设备等进行渗透测试,形成安全检测报告和整改建议方案，并指导完成高风险漏洞的安全整改，并具有较强的安全服务能力，能够利用测评、评估、漏洞扫描等方法发现系统安全隐患并提出合理的整改建议；对系统漏洞能够及时定位，并对后续修复的情况进行验证。</w:t>
      </w:r>
    </w:p>
    <w:p>
      <w:pPr>
        <w:spacing w:line="400" w:lineRule="exact"/>
        <w:ind w:firstLine="566" w:firstLineChars="236"/>
        <w:jc w:val="left"/>
        <w:rPr>
          <w:rFonts w:hint="default" w:ascii="Times New Roman" w:hAnsi="Times New Roman" w:eastAsia="宋体" w:cs="Times New Roman"/>
          <w:color w:val="auto"/>
          <w:kern w:val="2"/>
          <w:sz w:val="24"/>
          <w:szCs w:val="24"/>
          <w:highlight w:val="none"/>
          <w:lang w:val="en-US" w:eastAsia="zh-CN"/>
        </w:rPr>
      </w:pPr>
      <w:r>
        <w:rPr>
          <w:rFonts w:ascii="Times New Roman" w:hAnsi="Times New Roman" w:eastAsia="仿宋_GB2312" w:cs="Times New Roman"/>
          <w:color w:val="auto"/>
          <w:kern w:val="2"/>
          <w:sz w:val="24"/>
          <w:szCs w:val="24"/>
          <w:highlight w:val="none"/>
        </w:rPr>
        <w:t>4</w:t>
      </w:r>
      <w:r>
        <w:rPr>
          <w:rFonts w:hint="eastAsia" w:ascii="Times New Roman" w:hAnsi="Times New Roman" w:eastAsia="仿宋_GB2312" w:cs="Times New Roman"/>
          <w:color w:val="auto"/>
          <w:kern w:val="2"/>
          <w:sz w:val="24"/>
          <w:szCs w:val="24"/>
          <w:highlight w:val="none"/>
        </w:rPr>
        <w:t>、</w:t>
      </w:r>
      <w:r>
        <w:rPr>
          <w:rFonts w:hint="eastAsia" w:ascii="Times New Roman" w:hAnsi="宋体" w:eastAsia="仿宋_GB2312" w:cs="Times New Roman"/>
          <w:color w:val="auto"/>
          <w:kern w:val="2"/>
          <w:sz w:val="24"/>
          <w:highlight w:val="none"/>
        </w:rPr>
        <w:t>支撑保障服务</w:t>
      </w:r>
      <w:r>
        <w:rPr>
          <w:rFonts w:hint="eastAsia" w:ascii="Times New Roman" w:hAnsi="Times New Roman" w:eastAsia="仿宋_GB2312" w:cs="Times New Roman"/>
          <w:color w:val="auto"/>
          <w:kern w:val="2"/>
          <w:sz w:val="24"/>
          <w:szCs w:val="24"/>
          <w:highlight w:val="none"/>
        </w:rPr>
        <w:t>，在测评年度内以及下一年测评前</w:t>
      </w:r>
      <w:r>
        <w:rPr>
          <w:rFonts w:hint="eastAsia" w:ascii="Times New Roman" w:hAnsi="宋体" w:eastAsia="仿宋_GB2312" w:cs="Times New Roman"/>
          <w:color w:val="auto"/>
          <w:kern w:val="2"/>
          <w:sz w:val="24"/>
          <w:highlight w:val="none"/>
        </w:rPr>
        <w:t>，协助在重大信息安全检查工作或重大网络安全安保工作中提供远程或现场相关的技术支撑服务。（如发生安全事故，3小时到达事故现场）</w:t>
      </w:r>
      <w:r>
        <w:rPr>
          <w:rFonts w:hint="eastAsia" w:ascii="Times New Roman" w:hAnsi="Times New Roman" w:eastAsia="仿宋_GB2312" w:cs="Times New Roman"/>
          <w:color w:val="auto"/>
          <w:kern w:val="2"/>
          <w:sz w:val="24"/>
          <w:szCs w:val="24"/>
          <w:highlight w:val="none"/>
        </w:rPr>
        <w:t>。</w:t>
      </w:r>
      <w:r>
        <w:rPr>
          <w:rFonts w:hint="eastAsia" w:ascii="Times New Roman" w:hAnsi="Times New Roman" w:eastAsia="仿宋_GB2312" w:cs="Times New Roman"/>
          <w:color w:val="auto"/>
          <w:kern w:val="2"/>
          <w:sz w:val="24"/>
          <w:szCs w:val="24"/>
          <w:highlight w:val="none"/>
          <w:lang w:val="en-US" w:eastAsia="zh-CN"/>
        </w:rPr>
        <w:t>提供医院新系统上线前的安全扫描服务。提供重大节假日或重大</w:t>
      </w:r>
      <w:r>
        <w:rPr>
          <w:rFonts w:hint="eastAsia" w:ascii="Times New Roman" w:hAnsi="宋体" w:eastAsia="仿宋_GB2312" w:cs="Times New Roman"/>
          <w:color w:val="auto"/>
          <w:kern w:val="2"/>
          <w:sz w:val="24"/>
          <w:highlight w:val="none"/>
        </w:rPr>
        <w:t>网络安全安保工作</w:t>
      </w:r>
      <w:r>
        <w:rPr>
          <w:rFonts w:hint="eastAsia" w:ascii="Times New Roman" w:hAnsi="宋体" w:eastAsia="仿宋_GB2312" w:cs="Times New Roman"/>
          <w:color w:val="auto"/>
          <w:kern w:val="2"/>
          <w:sz w:val="24"/>
          <w:highlight w:val="none"/>
          <w:lang w:val="en-US" w:eastAsia="zh-CN"/>
        </w:rPr>
        <w:t>前的系统安全检测服务。</w:t>
      </w:r>
    </w:p>
    <w:p>
      <w:pPr>
        <w:spacing w:line="400" w:lineRule="exact"/>
        <w:ind w:firstLine="566" w:firstLineChars="236"/>
        <w:jc w:val="left"/>
        <w:rPr>
          <w:rFonts w:ascii="Times New Roman" w:hAnsi="宋体" w:eastAsia="仿宋_GB2312" w:cs="Times New Roman"/>
          <w:color w:val="auto"/>
          <w:kern w:val="2"/>
          <w:sz w:val="24"/>
          <w:highlight w:val="none"/>
        </w:rPr>
      </w:pPr>
      <w:r>
        <w:rPr>
          <w:rFonts w:ascii="Times New Roman" w:hAnsi="Times New Roman" w:eastAsia="仿宋_GB2312" w:cs="Times New Roman"/>
          <w:color w:val="auto"/>
          <w:kern w:val="2"/>
          <w:sz w:val="24"/>
          <w:szCs w:val="24"/>
          <w:highlight w:val="none"/>
        </w:rPr>
        <w:t>5</w:t>
      </w:r>
      <w:r>
        <w:rPr>
          <w:rFonts w:hint="eastAsia" w:ascii="Times New Roman" w:hAnsi="Times New Roman" w:eastAsia="仿宋_GB2312" w:cs="Times New Roman"/>
          <w:color w:val="auto"/>
          <w:kern w:val="2"/>
          <w:sz w:val="24"/>
          <w:szCs w:val="24"/>
          <w:highlight w:val="none"/>
        </w:rPr>
        <w:t>、</w:t>
      </w:r>
      <w:r>
        <w:rPr>
          <w:rFonts w:hint="eastAsia" w:ascii="Times New Roman" w:hAnsi="宋体" w:eastAsia="仿宋_GB2312" w:cs="Times New Roman"/>
          <w:color w:val="auto"/>
          <w:kern w:val="2"/>
          <w:sz w:val="24"/>
          <w:highlight w:val="none"/>
        </w:rPr>
        <w:t>安全咨询服务</w:t>
      </w:r>
      <w:r>
        <w:rPr>
          <w:rFonts w:hint="eastAsia" w:ascii="Times New Roman" w:hAnsi="Times New Roman" w:eastAsia="仿宋_GB2312" w:cs="Times New Roman"/>
          <w:color w:val="auto"/>
          <w:kern w:val="2"/>
          <w:sz w:val="24"/>
          <w:szCs w:val="24"/>
          <w:highlight w:val="none"/>
        </w:rPr>
        <w:t>，在测评年度内以及下一年测评前</w:t>
      </w:r>
      <w:r>
        <w:rPr>
          <w:rFonts w:hint="eastAsia" w:ascii="Times New Roman" w:hAnsi="宋体" w:eastAsia="仿宋_GB2312" w:cs="Times New Roman"/>
          <w:color w:val="auto"/>
          <w:kern w:val="2"/>
          <w:sz w:val="24"/>
          <w:highlight w:val="none"/>
        </w:rPr>
        <w:t>，提供相关的安全咨询服务。提供的安全咨询建议、策略、规范和整改建议要切合招标单位实际情况，满足</w:t>
      </w:r>
      <w:r>
        <w:rPr>
          <w:rFonts w:ascii="Times New Roman" w:hAnsi="宋体" w:eastAsia="仿宋_GB2312" w:cs="Times New Roman"/>
          <w:color w:val="auto"/>
          <w:kern w:val="2"/>
          <w:sz w:val="24"/>
          <w:highlight w:val="none"/>
        </w:rPr>
        <w:t>GBT22239-2019《信息安全技术-信息系统安全等级保护基本要求》等标准、规范的相关要求。</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6</w:t>
      </w:r>
      <w:r>
        <w:rPr>
          <w:rFonts w:hint="eastAsia" w:ascii="Times New Roman" w:hAnsi="Times New Roman" w:eastAsia="仿宋_GB2312" w:cs="Times New Roman"/>
          <w:color w:val="auto"/>
          <w:kern w:val="2"/>
          <w:sz w:val="24"/>
          <w:szCs w:val="24"/>
          <w:highlight w:val="none"/>
        </w:rPr>
        <w:t>、</w:t>
      </w:r>
      <w:r>
        <w:rPr>
          <w:rFonts w:hint="eastAsia" w:ascii="Times New Roman" w:hAnsi="宋体" w:eastAsia="仿宋_GB2312" w:cs="Times New Roman"/>
          <w:color w:val="auto"/>
          <w:kern w:val="2"/>
          <w:sz w:val="24"/>
          <w:highlight w:val="none"/>
        </w:rPr>
        <w:t>安全培训</w:t>
      </w:r>
      <w:r>
        <w:rPr>
          <w:rFonts w:hint="eastAsia" w:ascii="Times New Roman" w:hAnsi="Times New Roman" w:eastAsia="仿宋_GB2312" w:cs="Times New Roman"/>
          <w:color w:val="auto"/>
          <w:kern w:val="2"/>
          <w:sz w:val="24"/>
          <w:szCs w:val="24"/>
          <w:highlight w:val="none"/>
        </w:rPr>
        <w:t>，在测评年度内以及下一年测评前</w:t>
      </w:r>
      <w:r>
        <w:rPr>
          <w:rFonts w:hint="eastAsia" w:ascii="Times New Roman" w:hAnsi="宋体" w:eastAsia="仿宋_GB2312" w:cs="Times New Roman"/>
          <w:color w:val="auto"/>
          <w:kern w:val="2"/>
          <w:sz w:val="24"/>
          <w:highlight w:val="none"/>
        </w:rPr>
        <w:t>，提供一次网络安全等级保护相关的安全培训，参会人数由招标方自</w:t>
      </w:r>
      <w:r>
        <w:rPr>
          <w:rFonts w:hint="eastAsia" w:ascii="Times New Roman" w:hAnsi="宋体" w:eastAsia="仿宋_GB2312" w:cs="宋体"/>
          <w:color w:val="auto"/>
          <w:kern w:val="2"/>
          <w:sz w:val="24"/>
          <w:highlight w:val="none"/>
        </w:rPr>
        <w:t>拟。</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7</w:t>
      </w:r>
      <w:r>
        <w:rPr>
          <w:rFonts w:hint="eastAsia" w:ascii="Times New Roman" w:hAnsi="Times New Roman" w:eastAsia="仿宋_GB2312" w:cs="Times New Roman"/>
          <w:color w:val="auto"/>
          <w:kern w:val="2"/>
          <w:sz w:val="24"/>
          <w:szCs w:val="24"/>
          <w:highlight w:val="none"/>
        </w:rPr>
        <w:t>、</w:t>
      </w:r>
      <w:r>
        <w:rPr>
          <w:rFonts w:hint="eastAsia" w:ascii="Times New Roman" w:hAnsi="宋体" w:eastAsia="仿宋_GB2312" w:cs="Times New Roman"/>
          <w:color w:val="auto"/>
          <w:kern w:val="2"/>
          <w:sz w:val="24"/>
          <w:highlight w:val="none"/>
        </w:rPr>
        <w:t>安全检测</w:t>
      </w:r>
      <w:r>
        <w:rPr>
          <w:rFonts w:hint="eastAsia" w:ascii="Times New Roman" w:hAnsi="Times New Roman" w:eastAsia="仿宋_GB2312" w:cs="Times New Roman"/>
          <w:color w:val="auto"/>
          <w:kern w:val="2"/>
          <w:sz w:val="24"/>
          <w:szCs w:val="24"/>
          <w:highlight w:val="none"/>
        </w:rPr>
        <w:t>，在测评年度内以及下一年测评前，除等保</w:t>
      </w:r>
      <w:r>
        <w:rPr>
          <w:rFonts w:ascii="Times New Roman" w:hAnsi="Times New Roman" w:eastAsia="仿宋_GB2312" w:cs="Times New Roman"/>
          <w:color w:val="auto"/>
          <w:kern w:val="2"/>
          <w:sz w:val="24"/>
          <w:szCs w:val="24"/>
          <w:highlight w:val="none"/>
        </w:rPr>
        <w:t>测评</w:t>
      </w:r>
      <w:r>
        <w:rPr>
          <w:rFonts w:hint="eastAsia" w:ascii="Times New Roman" w:hAnsi="Times New Roman" w:eastAsia="仿宋_GB2312" w:cs="Times New Roman"/>
          <w:color w:val="auto"/>
          <w:kern w:val="2"/>
          <w:sz w:val="24"/>
          <w:szCs w:val="24"/>
          <w:highlight w:val="none"/>
        </w:rPr>
        <w:t>报告</w:t>
      </w:r>
      <w:r>
        <w:rPr>
          <w:rFonts w:ascii="Times New Roman" w:hAnsi="Times New Roman" w:eastAsia="仿宋_GB2312" w:cs="Times New Roman"/>
          <w:color w:val="auto"/>
          <w:kern w:val="2"/>
          <w:sz w:val="24"/>
          <w:szCs w:val="24"/>
          <w:highlight w:val="none"/>
        </w:rPr>
        <w:t>外，免费提供一次以上所有系统的安全检测服务出扫描报告</w:t>
      </w:r>
      <w:r>
        <w:rPr>
          <w:rFonts w:hint="eastAsia" w:ascii="Times New Roman" w:hAnsi="Times New Roman" w:eastAsia="仿宋_GB2312" w:cs="Times New Roman"/>
          <w:color w:val="auto"/>
          <w:kern w:val="2"/>
          <w:sz w:val="24"/>
          <w:szCs w:val="24"/>
          <w:highlight w:val="none"/>
        </w:rPr>
        <w:t>。</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2.8项目成果：</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项目成果应包含：系统测评记录、工具扫描报告、系统风险分析、系统等级测评报告、系统整改加固方案等。</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测评方应按照等级保护测评要求制定测评详细计划和方案。在项目实施过程中能够严格遵循等级测评流程规范、质量保证和过程管理规范，形成规范、详尽、统一的过程文档、工作记录、进度报告等。</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交付物：</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1</w:t>
      </w:r>
      <w:r>
        <w:rPr>
          <w:rFonts w:hint="eastAsia" w:ascii="Times New Roman" w:hAnsi="Times New Roman" w:eastAsia="仿宋_GB2312" w:cs="Times New Roman"/>
          <w:color w:val="auto"/>
          <w:kern w:val="2"/>
          <w:sz w:val="24"/>
          <w:szCs w:val="24"/>
          <w:highlight w:val="none"/>
        </w:rPr>
        <w:t>、《医院信息系统等级保护测评进度计划表》纸质版、电子版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2</w:t>
      </w:r>
      <w:r>
        <w:rPr>
          <w:rFonts w:hint="eastAsia" w:ascii="Times New Roman" w:hAnsi="Times New Roman" w:eastAsia="仿宋_GB2312" w:cs="Times New Roman"/>
          <w:color w:val="auto"/>
          <w:kern w:val="2"/>
          <w:sz w:val="24"/>
          <w:szCs w:val="24"/>
          <w:highlight w:val="none"/>
        </w:rPr>
        <w:t>、《医院信息系统等级保护测评实施方案》纸质版、电子版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3</w:t>
      </w:r>
      <w:r>
        <w:rPr>
          <w:rFonts w:hint="eastAsia" w:ascii="Times New Roman" w:hAnsi="Times New Roman" w:eastAsia="仿宋_GB2312" w:cs="Times New Roman"/>
          <w:color w:val="auto"/>
          <w:kern w:val="2"/>
          <w:sz w:val="24"/>
          <w:szCs w:val="24"/>
          <w:highlight w:val="none"/>
        </w:rPr>
        <w:t>、《医院信息系统等级保护测评差距分析报告》纸质版、电子版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4、《互联网</w:t>
      </w:r>
      <w:r>
        <w:rPr>
          <w:rFonts w:ascii="Times New Roman" w:hAnsi="Times New Roman" w:eastAsia="仿宋_GB2312" w:cs="Times New Roman"/>
          <w:color w:val="auto"/>
          <w:kern w:val="2"/>
          <w:sz w:val="24"/>
          <w:szCs w:val="24"/>
          <w:highlight w:val="none"/>
        </w:rPr>
        <w:t>医院</w:t>
      </w:r>
      <w:r>
        <w:rPr>
          <w:rFonts w:hint="eastAsia" w:ascii="Times New Roman" w:hAnsi="Times New Roman" w:eastAsia="仿宋_GB2312" w:cs="Times New Roman"/>
          <w:color w:val="auto"/>
          <w:kern w:val="2"/>
          <w:sz w:val="24"/>
          <w:szCs w:val="24"/>
          <w:highlight w:val="none"/>
        </w:rPr>
        <w:t>等级保护测评进度计划表》纸质版、电子版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5</w:t>
      </w:r>
      <w:r>
        <w:rPr>
          <w:rFonts w:hint="eastAsia" w:ascii="Times New Roman" w:hAnsi="Times New Roman" w:eastAsia="仿宋_GB2312" w:cs="Times New Roman"/>
          <w:color w:val="auto"/>
          <w:kern w:val="2"/>
          <w:sz w:val="24"/>
          <w:szCs w:val="24"/>
          <w:highlight w:val="none"/>
        </w:rPr>
        <w:t>、《互联网</w:t>
      </w:r>
      <w:r>
        <w:rPr>
          <w:rFonts w:ascii="Times New Roman" w:hAnsi="Times New Roman" w:eastAsia="仿宋_GB2312" w:cs="Times New Roman"/>
          <w:color w:val="auto"/>
          <w:kern w:val="2"/>
          <w:sz w:val="24"/>
          <w:szCs w:val="24"/>
          <w:highlight w:val="none"/>
        </w:rPr>
        <w:t>医院</w:t>
      </w:r>
      <w:r>
        <w:rPr>
          <w:rFonts w:hint="eastAsia" w:ascii="Times New Roman" w:hAnsi="Times New Roman" w:eastAsia="仿宋_GB2312" w:cs="Times New Roman"/>
          <w:color w:val="auto"/>
          <w:kern w:val="2"/>
          <w:sz w:val="24"/>
          <w:szCs w:val="24"/>
          <w:highlight w:val="none"/>
        </w:rPr>
        <w:t>等级保护测评实施方案》纸质版、电子版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6</w:t>
      </w:r>
      <w:r>
        <w:rPr>
          <w:rFonts w:hint="eastAsia" w:ascii="Times New Roman" w:hAnsi="Times New Roman" w:eastAsia="仿宋_GB2312" w:cs="Times New Roman"/>
          <w:color w:val="auto"/>
          <w:kern w:val="2"/>
          <w:sz w:val="24"/>
          <w:szCs w:val="24"/>
          <w:highlight w:val="none"/>
        </w:rPr>
        <w:t>、《互联网</w:t>
      </w:r>
      <w:r>
        <w:rPr>
          <w:rFonts w:ascii="Times New Roman" w:hAnsi="Times New Roman" w:eastAsia="仿宋_GB2312" w:cs="Times New Roman"/>
          <w:color w:val="auto"/>
          <w:kern w:val="2"/>
          <w:sz w:val="24"/>
          <w:szCs w:val="24"/>
          <w:highlight w:val="none"/>
        </w:rPr>
        <w:t>医院</w:t>
      </w:r>
      <w:r>
        <w:rPr>
          <w:rFonts w:hint="eastAsia" w:ascii="Times New Roman" w:hAnsi="Times New Roman" w:eastAsia="仿宋_GB2312" w:cs="Times New Roman"/>
          <w:color w:val="auto"/>
          <w:kern w:val="2"/>
          <w:sz w:val="24"/>
          <w:szCs w:val="24"/>
          <w:highlight w:val="none"/>
        </w:rPr>
        <w:t>等级保护测评差距分析报告》纸质版、电子版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7</w:t>
      </w:r>
      <w:r>
        <w:rPr>
          <w:rFonts w:hint="eastAsia" w:ascii="Times New Roman" w:hAnsi="Times New Roman" w:eastAsia="仿宋_GB2312" w:cs="Times New Roman"/>
          <w:color w:val="auto"/>
          <w:kern w:val="2"/>
          <w:sz w:val="24"/>
          <w:szCs w:val="24"/>
          <w:highlight w:val="none"/>
        </w:rPr>
        <w:t>、《集成平台系统等级保护测评进度计划表》纸质版、电子版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8</w:t>
      </w:r>
      <w:r>
        <w:rPr>
          <w:rFonts w:hint="eastAsia" w:ascii="Times New Roman" w:hAnsi="Times New Roman" w:eastAsia="仿宋_GB2312" w:cs="Times New Roman"/>
          <w:color w:val="auto"/>
          <w:kern w:val="2"/>
          <w:sz w:val="24"/>
          <w:szCs w:val="24"/>
          <w:highlight w:val="none"/>
        </w:rPr>
        <w:t>、《集成平台系统等级保护测评实施方案》纸质版、电子版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9</w:t>
      </w:r>
      <w:r>
        <w:rPr>
          <w:rFonts w:hint="eastAsia" w:ascii="Times New Roman" w:hAnsi="Times New Roman" w:eastAsia="仿宋_GB2312" w:cs="Times New Roman"/>
          <w:color w:val="auto"/>
          <w:kern w:val="2"/>
          <w:sz w:val="24"/>
          <w:szCs w:val="24"/>
          <w:highlight w:val="none"/>
        </w:rPr>
        <w:t>、《集成平台系统等级保护测评差距分析报告》纸质版、电子版</w:t>
      </w:r>
      <w:r>
        <w:rPr>
          <w:rFonts w:ascii="Times New Roman" w:hAnsi="Times New Roman" w:eastAsia="仿宋_GB2312" w:cs="Times New Roman"/>
          <w:color w:val="auto"/>
          <w:kern w:val="2"/>
          <w:sz w:val="24"/>
          <w:szCs w:val="24"/>
          <w:highlight w:val="none"/>
        </w:rPr>
        <w:t xml:space="preserve"> </w:t>
      </w:r>
    </w:p>
    <w:p>
      <w:pPr>
        <w:spacing w:line="400" w:lineRule="exact"/>
        <w:ind w:left="420" w:leftChars="200" w:firstLine="86" w:firstLineChars="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10</w:t>
      </w:r>
      <w:r>
        <w:rPr>
          <w:rFonts w:hint="eastAsia" w:ascii="Times New Roman" w:hAnsi="Times New Roman" w:eastAsia="仿宋_GB2312" w:cs="Times New Roman"/>
          <w:color w:val="auto"/>
          <w:kern w:val="2"/>
          <w:sz w:val="24"/>
          <w:szCs w:val="24"/>
          <w:highlight w:val="none"/>
        </w:rPr>
        <w:t>、《医院信息系统等级保护测评最终测评报告》纸质版、电子版</w:t>
      </w:r>
      <w:r>
        <w:rPr>
          <w:rFonts w:ascii="Times New Roman" w:hAnsi="Times New Roman" w:eastAsia="仿宋_GB2312" w:cs="Times New Roman"/>
          <w:color w:val="auto"/>
          <w:kern w:val="2"/>
          <w:sz w:val="24"/>
          <w:szCs w:val="24"/>
          <w:highlight w:val="none"/>
        </w:rPr>
        <w:t xml:space="preserve"> </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11</w:t>
      </w:r>
      <w:r>
        <w:rPr>
          <w:rFonts w:hint="eastAsia" w:ascii="Times New Roman" w:hAnsi="Times New Roman" w:eastAsia="仿宋_GB2312" w:cs="Times New Roman"/>
          <w:color w:val="auto"/>
          <w:kern w:val="2"/>
          <w:sz w:val="24"/>
          <w:szCs w:val="24"/>
          <w:highlight w:val="none"/>
        </w:rPr>
        <w:t>、《互联网</w:t>
      </w:r>
      <w:r>
        <w:rPr>
          <w:rFonts w:ascii="Times New Roman" w:hAnsi="Times New Roman" w:eastAsia="仿宋_GB2312" w:cs="Times New Roman"/>
          <w:color w:val="auto"/>
          <w:kern w:val="2"/>
          <w:sz w:val="24"/>
          <w:szCs w:val="24"/>
          <w:highlight w:val="none"/>
        </w:rPr>
        <w:t>医院</w:t>
      </w:r>
      <w:r>
        <w:rPr>
          <w:rFonts w:hint="eastAsia" w:ascii="Times New Roman" w:hAnsi="Times New Roman" w:eastAsia="仿宋_GB2312" w:cs="Times New Roman"/>
          <w:color w:val="auto"/>
          <w:kern w:val="2"/>
          <w:sz w:val="24"/>
          <w:szCs w:val="24"/>
          <w:highlight w:val="none"/>
        </w:rPr>
        <w:t>等级保护测评最终测评报告》纸质版、电子版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12</w:t>
      </w:r>
      <w:r>
        <w:rPr>
          <w:rFonts w:hint="eastAsia" w:ascii="Times New Roman" w:hAnsi="Times New Roman" w:eastAsia="仿宋_GB2312" w:cs="Times New Roman"/>
          <w:color w:val="auto"/>
          <w:kern w:val="2"/>
          <w:sz w:val="24"/>
          <w:szCs w:val="24"/>
          <w:highlight w:val="none"/>
        </w:rPr>
        <w:t>、《集成平台系统等级保护测评最终测评报告》纸质版、电子版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ascii="Times New Roman" w:hAnsi="Times New Roman" w:eastAsia="仿宋_GB2312" w:cs="Times New Roman"/>
          <w:color w:val="auto"/>
          <w:kern w:val="2"/>
          <w:sz w:val="24"/>
          <w:szCs w:val="24"/>
          <w:highlight w:val="none"/>
        </w:rPr>
        <w:t>13</w:t>
      </w:r>
      <w:r>
        <w:rPr>
          <w:rFonts w:hint="eastAsia" w:ascii="Times New Roman" w:hAnsi="Times New Roman" w:eastAsia="仿宋_GB2312" w:cs="Times New Roman"/>
          <w:color w:val="auto"/>
          <w:kern w:val="2"/>
          <w:sz w:val="24"/>
          <w:szCs w:val="24"/>
          <w:highlight w:val="none"/>
        </w:rPr>
        <w:t>、《LIS、PACS、EMR、手麻、合理用药、供应室追溯、院感及传染病上报、移动医护、微信挂号、</w:t>
      </w:r>
      <w:r>
        <w:rPr>
          <w:rFonts w:ascii="Times New Roman" w:hAnsi="Times New Roman" w:eastAsia="仿宋_GB2312" w:cs="Times New Roman"/>
          <w:color w:val="auto"/>
          <w:kern w:val="2"/>
          <w:sz w:val="24"/>
          <w:szCs w:val="24"/>
          <w:highlight w:val="none"/>
        </w:rPr>
        <w:t>互联网医院随访、</w:t>
      </w:r>
      <w:r>
        <w:rPr>
          <w:rFonts w:hint="eastAsia" w:ascii="Times New Roman" w:hAnsi="Times New Roman" w:eastAsia="仿宋_GB2312" w:cs="Times New Roman"/>
          <w:color w:val="auto"/>
          <w:kern w:val="2"/>
          <w:sz w:val="24"/>
          <w:szCs w:val="24"/>
          <w:highlight w:val="none"/>
        </w:rPr>
        <w:t>OA、HRP、科研教学扫描报告、人事管理系统、电子发票、不良事件上报、心电管理、病理系统、影像云、输血管理、电子签名扫描报告》纸质版、电子版。</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2.9人员保障要求：</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lang w:eastAsia="zh-CN"/>
        </w:rPr>
        <w:t>投标人</w:t>
      </w:r>
      <w:r>
        <w:rPr>
          <w:rFonts w:hint="eastAsia" w:ascii="Times New Roman" w:hAnsi="Times New Roman" w:eastAsia="仿宋_GB2312" w:cs="Times New Roman"/>
          <w:color w:val="auto"/>
          <w:kern w:val="2"/>
          <w:sz w:val="24"/>
          <w:szCs w:val="24"/>
          <w:highlight w:val="none"/>
        </w:rPr>
        <w:t>拟投入本项目的</w:t>
      </w:r>
      <w:r>
        <w:rPr>
          <w:rFonts w:ascii="Times New Roman" w:hAnsi="Times New Roman" w:eastAsia="仿宋_GB2312" w:cs="Times New Roman"/>
          <w:color w:val="auto"/>
          <w:kern w:val="2"/>
          <w:sz w:val="24"/>
          <w:szCs w:val="24"/>
          <w:highlight w:val="none"/>
        </w:rPr>
        <w:t>等级保护测评小组至少</w:t>
      </w:r>
      <w:r>
        <w:rPr>
          <w:rFonts w:hint="eastAsia" w:ascii="Times New Roman" w:hAnsi="Times New Roman" w:eastAsia="仿宋_GB2312" w:cs="Times New Roman"/>
          <w:color w:val="auto"/>
          <w:kern w:val="2"/>
          <w:sz w:val="24"/>
          <w:szCs w:val="24"/>
          <w:highlight w:val="none"/>
        </w:rPr>
        <w:t>由</w:t>
      </w:r>
      <w:r>
        <w:rPr>
          <w:rFonts w:ascii="Times New Roman" w:hAnsi="Times New Roman" w:eastAsia="仿宋_GB2312" w:cs="Times New Roman"/>
          <w:color w:val="auto"/>
          <w:kern w:val="2"/>
          <w:sz w:val="24"/>
          <w:szCs w:val="24"/>
          <w:highlight w:val="none"/>
        </w:rPr>
        <w:t>5</w:t>
      </w:r>
      <w:r>
        <w:rPr>
          <w:rFonts w:hint="eastAsia" w:ascii="Times New Roman" w:hAnsi="Times New Roman" w:eastAsia="仿宋_GB2312" w:cs="Times New Roman"/>
          <w:color w:val="auto"/>
          <w:kern w:val="2"/>
          <w:sz w:val="24"/>
          <w:szCs w:val="24"/>
          <w:highlight w:val="none"/>
        </w:rPr>
        <w:t>名测评人员</w:t>
      </w:r>
      <w:r>
        <w:rPr>
          <w:rFonts w:ascii="Times New Roman" w:hAnsi="Times New Roman" w:eastAsia="仿宋_GB2312" w:cs="Times New Roman"/>
          <w:color w:val="auto"/>
          <w:kern w:val="2"/>
          <w:sz w:val="24"/>
          <w:szCs w:val="24"/>
          <w:highlight w:val="none"/>
        </w:rPr>
        <w:t>构成（</w:t>
      </w:r>
      <w:r>
        <w:rPr>
          <w:rFonts w:hint="eastAsia" w:ascii="Times New Roman" w:hAnsi="Times New Roman" w:eastAsia="仿宋_GB2312" w:cs="Times New Roman"/>
          <w:color w:val="auto"/>
          <w:kern w:val="2"/>
          <w:sz w:val="24"/>
          <w:szCs w:val="24"/>
          <w:highlight w:val="none"/>
        </w:rPr>
        <w:t>其中，中、</w:t>
      </w:r>
      <w:r>
        <w:rPr>
          <w:rFonts w:ascii="Times New Roman" w:hAnsi="Times New Roman" w:eastAsia="仿宋_GB2312" w:cs="Times New Roman"/>
          <w:color w:val="auto"/>
          <w:kern w:val="2"/>
          <w:sz w:val="24"/>
          <w:szCs w:val="24"/>
          <w:highlight w:val="none"/>
        </w:rPr>
        <w:t>高级测评师至少</w:t>
      </w:r>
      <w:r>
        <w:rPr>
          <w:rFonts w:hint="eastAsia" w:ascii="Times New Roman" w:hAnsi="Times New Roman" w:eastAsia="仿宋_GB2312" w:cs="Times New Roman"/>
          <w:color w:val="auto"/>
          <w:kern w:val="2"/>
          <w:sz w:val="24"/>
          <w:szCs w:val="24"/>
          <w:highlight w:val="none"/>
        </w:rPr>
        <w:t>分别</w:t>
      </w:r>
      <w:r>
        <w:rPr>
          <w:rFonts w:ascii="Times New Roman" w:hAnsi="Times New Roman" w:eastAsia="仿宋_GB2312" w:cs="Times New Roman"/>
          <w:color w:val="auto"/>
          <w:kern w:val="2"/>
          <w:sz w:val="24"/>
          <w:szCs w:val="24"/>
          <w:highlight w:val="none"/>
        </w:rPr>
        <w:t>1人），</w:t>
      </w:r>
      <w:r>
        <w:rPr>
          <w:rFonts w:hint="eastAsia" w:ascii="Times New Roman" w:hAnsi="Times New Roman" w:eastAsia="仿宋_GB2312" w:cs="Times New Roman"/>
          <w:color w:val="auto"/>
          <w:kern w:val="2"/>
          <w:sz w:val="24"/>
          <w:szCs w:val="24"/>
          <w:highlight w:val="none"/>
        </w:rPr>
        <w:t>且</w:t>
      </w:r>
      <w:r>
        <w:rPr>
          <w:rFonts w:ascii="Times New Roman" w:hAnsi="Times New Roman" w:eastAsia="仿宋_GB2312" w:cs="Times New Roman"/>
          <w:color w:val="auto"/>
          <w:kern w:val="2"/>
          <w:sz w:val="24"/>
          <w:szCs w:val="24"/>
          <w:highlight w:val="none"/>
        </w:rPr>
        <w:t>测评人员均具有公安部认证的测评师证书</w:t>
      </w:r>
      <w:r>
        <w:rPr>
          <w:rFonts w:hint="eastAsia" w:ascii="Times New Roman" w:hAnsi="Times New Roman" w:eastAsia="仿宋_GB2312" w:cs="Times New Roman"/>
          <w:color w:val="auto"/>
          <w:kern w:val="2"/>
          <w:sz w:val="24"/>
          <w:szCs w:val="24"/>
          <w:highlight w:val="none"/>
        </w:rPr>
        <w:t>，为保证项目实施质量，要求项目骨干人员具有3年及以上相关工作经验。</w:t>
      </w:r>
    </w:p>
    <w:p>
      <w:pPr>
        <w:spacing w:line="400" w:lineRule="exact"/>
        <w:ind w:firstLine="566" w:firstLineChars="236"/>
        <w:jc w:val="left"/>
        <w:rPr>
          <w:rFonts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2.10保密要求：</w:t>
      </w:r>
    </w:p>
    <w:p>
      <w:pPr>
        <w:spacing w:line="400" w:lineRule="exact"/>
        <w:ind w:left="0" w:leftChars="0" w:firstLine="0" w:firstLineChars="0"/>
        <w:jc w:val="left"/>
        <w:rPr>
          <w:rFonts w:hint="eastAsia"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rPr>
        <w:t>中标方要保守测评中所有涉及招标方的数据、安全问题、测评报告等结果与数据、资料的秘密，并与招标方签订保密协议。若因中标方原因，泄露招标方测评结果，安全漏洞、数据、资料等的，将承担由此产生的一切责任。</w:t>
      </w:r>
    </w:p>
    <w:p>
      <w:pPr>
        <w:spacing w:line="400" w:lineRule="exact"/>
        <w:ind w:left="0" w:leftChars="0" w:firstLine="480" w:firstLineChars="200"/>
        <w:jc w:val="left"/>
        <w:rPr>
          <w:rFonts w:hint="eastAsia" w:ascii="Times New Roman" w:hAnsi="Times New Roman" w:eastAsia="仿宋_GB2312" w:cs="Times New Roman"/>
          <w:color w:val="auto"/>
          <w:kern w:val="2"/>
          <w:sz w:val="24"/>
          <w:szCs w:val="22"/>
          <w:highlight w:val="none"/>
        </w:rPr>
      </w:pPr>
      <w:r>
        <w:rPr>
          <w:rFonts w:hint="eastAsia" w:ascii="Times New Roman" w:hAnsi="Times New Roman" w:eastAsia="仿宋_GB2312" w:cs="Times New Roman"/>
          <w:color w:val="auto"/>
          <w:kern w:val="2"/>
          <w:sz w:val="24"/>
          <w:szCs w:val="24"/>
          <w:highlight w:val="none"/>
          <w:lang w:val="en-US" w:eastAsia="zh-CN"/>
        </w:rPr>
        <w:t>2.11</w:t>
      </w:r>
      <w:r>
        <w:rPr>
          <w:rFonts w:hint="eastAsia" w:ascii="Times New Roman" w:hAnsi="Times New Roman" w:eastAsia="仿宋_GB2312" w:cs="Times New Roman"/>
          <w:color w:val="auto"/>
          <w:kern w:val="2"/>
          <w:sz w:val="24"/>
          <w:szCs w:val="24"/>
          <w:highlight w:val="none"/>
          <w:lang w:eastAsia="zh-CN"/>
        </w:rPr>
        <w:t>投标人</w:t>
      </w:r>
      <w:r>
        <w:rPr>
          <w:rFonts w:hint="eastAsia" w:ascii="Times New Roman" w:hAnsi="Times New Roman" w:eastAsia="仿宋_GB2312" w:cs="Times New Roman"/>
          <w:color w:val="auto"/>
          <w:kern w:val="2"/>
          <w:sz w:val="24"/>
          <w:szCs w:val="24"/>
          <w:highlight w:val="none"/>
        </w:rPr>
        <w:t>需要有本地服务团队，当发生突发网络安全公共事件时，能在第一时间派出技术团队协助处置突发事件，技术人员须具有中级及以上测评师资质且在本次项目现场测评人员名单内。</w:t>
      </w:r>
      <w:r>
        <w:rPr>
          <w:rFonts w:hint="eastAsia" w:ascii="Times New Roman" w:hAnsi="Times New Roman" w:eastAsia="仿宋_GB2312" w:cs="Times New Roman"/>
          <w:color w:val="auto"/>
          <w:kern w:val="2"/>
          <w:sz w:val="24"/>
          <w:szCs w:val="24"/>
          <w:highlight w:val="none"/>
          <w:lang w:eastAsia="zh-CN"/>
        </w:rPr>
        <w:t>（提供承诺函，格式自拟）</w:t>
      </w:r>
      <w:r>
        <w:rPr>
          <w:rFonts w:hint="eastAsia" w:ascii="Times New Roman" w:hAnsi="Times New Roman" w:eastAsia="仿宋_GB2312" w:cs="Times New Roman"/>
          <w:color w:val="auto"/>
          <w:kern w:val="2"/>
          <w:sz w:val="24"/>
          <w:szCs w:val="22"/>
          <w:highlight w:val="none"/>
        </w:rPr>
        <w:br w:type="page"/>
      </w:r>
    </w:p>
    <w:p>
      <w:pPr>
        <w:pStyle w:val="3"/>
        <w:spacing w:line="360" w:lineRule="auto"/>
        <w:rPr>
          <w:rFonts w:ascii="宋体" w:hAnsi="宋体" w:eastAsia="宋体" w:cs="宋体"/>
          <w:sz w:val="28"/>
          <w:szCs w:val="28"/>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篇 项目商务要求</w:t>
      </w:r>
      <w:bookmarkEnd w:id="6"/>
      <w:bookmarkEnd w:id="7"/>
      <w:bookmarkStart w:id="13" w:name="_Toc505608529"/>
    </w:p>
    <w:bookmarkEnd w:id="8"/>
    <w:bookmarkEnd w:id="13"/>
    <w:p>
      <w:pPr>
        <w:pStyle w:val="4"/>
        <w:spacing w:line="360" w:lineRule="auto"/>
      </w:pPr>
      <w:bookmarkStart w:id="14" w:name="_Toc98942883"/>
      <w:r>
        <w:rPr>
          <w:rFonts w:hint="eastAsia"/>
        </w:rPr>
        <w:t>一、交货期、交货地点及验收方式</w:t>
      </w:r>
      <w:bookmarkEnd w:id="14"/>
    </w:p>
    <w:p>
      <w:pPr>
        <w:snapToGrid w:val="0"/>
        <w:spacing w:line="276" w:lineRule="auto"/>
        <w:ind w:firstLine="480" w:firstLineChars="200"/>
        <w:rPr>
          <w:sz w:val="24"/>
        </w:rPr>
      </w:pPr>
      <w:r>
        <w:rPr>
          <w:rFonts w:hint="eastAsia"/>
          <w:sz w:val="24"/>
        </w:rPr>
        <w:t>1.1交货期</w:t>
      </w:r>
    </w:p>
    <w:p>
      <w:pPr>
        <w:widowControl/>
        <w:snapToGrid w:val="0"/>
        <w:spacing w:line="400" w:lineRule="exact"/>
        <w:ind w:firstLine="424" w:firstLineChars="177"/>
        <w:jc w:val="left"/>
        <w:rPr>
          <w:rFonts w:hint="eastAsia" w:ascii="Times New Roman" w:hAnsi="宋体" w:eastAsia="仿宋_GB2312" w:cs="宋体"/>
          <w:color w:val="auto"/>
          <w:kern w:val="2"/>
          <w:sz w:val="24"/>
          <w:szCs w:val="21"/>
          <w:highlight w:val="none"/>
        </w:rPr>
      </w:pPr>
      <w:r>
        <w:rPr>
          <w:rFonts w:hint="eastAsia" w:ascii="Times New Roman" w:hAnsi="宋体" w:eastAsia="仿宋_GB2312" w:cs="宋体"/>
          <w:color w:val="auto"/>
          <w:kern w:val="2"/>
          <w:sz w:val="24"/>
          <w:szCs w:val="21"/>
          <w:highlight w:val="none"/>
        </w:rPr>
        <w:t>中标人应在采购合同签订后，根据采购人的通知前来测评,测试工期两个月。</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jc w:val="left"/>
        <w:rPr>
          <w:rFonts w:hint="eastAsia" w:ascii="Times New Roman" w:hAnsi="Times New Roman" w:eastAsia="仿宋_GB2312" w:cs="Times New Roman"/>
          <w:color w:val="auto"/>
          <w:kern w:val="2"/>
          <w:sz w:val="24"/>
          <w:highlight w:val="none"/>
        </w:rPr>
      </w:pPr>
      <w:bookmarkStart w:id="15" w:name="_Toc98942884"/>
      <w:bookmarkStart w:id="16" w:name="_Toc505608530"/>
      <w:bookmarkStart w:id="17" w:name="_Toc267320050"/>
      <w:r>
        <w:rPr>
          <w:rFonts w:hint="eastAsia" w:ascii="Times New Roman" w:hAnsi="Times New Roman" w:eastAsia="仿宋_GB2312" w:cs="Times New Roman"/>
          <w:color w:val="auto"/>
          <w:kern w:val="2"/>
          <w:sz w:val="24"/>
          <w:highlight w:val="none"/>
        </w:rPr>
        <w:t>1.3验收方式</w:t>
      </w:r>
    </w:p>
    <w:p>
      <w:pPr>
        <w:snapToGrid w:val="0"/>
        <w:spacing w:line="400" w:lineRule="exact"/>
        <w:ind w:firstLine="480" w:firstLineChars="200"/>
        <w:jc w:val="left"/>
        <w:rPr>
          <w:rFonts w:hint="eastAsia" w:ascii="Times New Roman" w:hAnsi="Times New Roman" w:eastAsia="仿宋_GB2312" w:cs="Times New Roman"/>
          <w:color w:val="auto"/>
          <w:kern w:val="2"/>
          <w:sz w:val="24"/>
          <w:highlight w:val="none"/>
        </w:rPr>
      </w:pPr>
      <w:r>
        <w:rPr>
          <w:rFonts w:hint="eastAsia" w:ascii="Times New Roman" w:hAnsi="Times New Roman" w:eastAsia="仿宋_GB2312" w:cs="Times New Roman"/>
          <w:color w:val="auto"/>
          <w:kern w:val="2"/>
          <w:sz w:val="24"/>
          <w:highlight w:val="none"/>
        </w:rPr>
        <w:t>1.3.1服务内容与采购合同一致，达到合同及招投标规定的标准。</w:t>
      </w:r>
    </w:p>
    <w:p>
      <w:pPr>
        <w:snapToGrid w:val="0"/>
        <w:spacing w:line="400" w:lineRule="exact"/>
        <w:ind w:firstLine="480" w:firstLineChars="200"/>
        <w:jc w:val="left"/>
        <w:rPr>
          <w:rFonts w:hint="eastAsia" w:ascii="Times New Roman" w:hAnsi="Times New Roman" w:eastAsia="仿宋_GB2312" w:cs="Times New Roman"/>
          <w:color w:val="auto"/>
          <w:kern w:val="2"/>
          <w:sz w:val="24"/>
          <w:highlight w:val="none"/>
        </w:rPr>
      </w:pPr>
      <w:r>
        <w:rPr>
          <w:rFonts w:hint="eastAsia" w:ascii="Times New Roman" w:hAnsi="Times New Roman" w:eastAsia="仿宋_GB2312" w:cs="Times New Roman"/>
          <w:color w:val="auto"/>
          <w:kern w:val="2"/>
          <w:sz w:val="24"/>
          <w:highlight w:val="none"/>
        </w:rPr>
        <w:t>1.3.2在规定时间内完成交货并验收，并经采购人确认。</w:t>
      </w:r>
    </w:p>
    <w:p>
      <w:pPr>
        <w:snapToGrid w:val="0"/>
        <w:spacing w:line="400" w:lineRule="exact"/>
        <w:ind w:firstLine="480" w:firstLineChars="200"/>
        <w:jc w:val="left"/>
        <w:rPr>
          <w:rFonts w:hint="eastAsia" w:ascii="Times New Roman" w:hAnsi="Times New Roman" w:eastAsia="仿宋_GB2312" w:cs="Times New Roman"/>
          <w:color w:val="auto"/>
          <w:kern w:val="2"/>
          <w:sz w:val="24"/>
          <w:highlight w:val="none"/>
        </w:rPr>
      </w:pPr>
      <w:r>
        <w:rPr>
          <w:rFonts w:hint="eastAsia" w:ascii="Times New Roman" w:hAnsi="Times New Roman" w:eastAsia="仿宋_GB2312" w:cs="Times New Roman"/>
          <w:color w:val="auto"/>
          <w:kern w:val="2"/>
          <w:sz w:val="24"/>
          <w:highlight w:val="none"/>
        </w:rPr>
        <w:t>1.4.投标人提供的服务未达到招标文件规定要求，且对采购人造成损失的，由投标人承担一切责任，并赔偿所造成的损失。</w:t>
      </w:r>
    </w:p>
    <w:p>
      <w:pPr>
        <w:pStyle w:val="4"/>
      </w:pPr>
      <w:r>
        <w:rPr>
          <w:rFonts w:hint="eastAsia"/>
        </w:rPr>
        <w:t>二、报价要求</w:t>
      </w:r>
      <w:bookmarkEnd w:id="15"/>
      <w:bookmarkEnd w:id="16"/>
    </w:p>
    <w:p>
      <w:pPr>
        <w:snapToGrid w:val="0"/>
        <w:spacing w:line="360" w:lineRule="auto"/>
        <w:ind w:firstLine="480" w:firstLineChars="200"/>
        <w:rPr>
          <w:sz w:val="24"/>
        </w:rPr>
      </w:pPr>
      <w:bookmarkStart w:id="18" w:name="_Toc505608531"/>
      <w:r>
        <w:rPr>
          <w:rFonts w:hint="eastAsia"/>
          <w:sz w:val="24"/>
        </w:rPr>
        <w:t>2.1.谈判报价包括完成本项目所需的本项目报价总价，本次报价须为人民币报价，包含：人工、保险费、安装费、调试费、售后服务费、税费、培训费等所有费用，因成交供应商自身原因造成漏报、少报皆由其自行承担责任，采购人不再补偿。</w:t>
      </w:r>
    </w:p>
    <w:bookmarkEnd w:id="17"/>
    <w:bookmarkEnd w:id="18"/>
    <w:p>
      <w:pPr>
        <w:keepNext/>
        <w:keepLines/>
        <w:widowControl w:val="0"/>
        <w:adjustRightInd w:val="0"/>
        <w:snapToGrid w:val="0"/>
        <w:spacing w:line="400" w:lineRule="exact"/>
        <w:outlineLvl w:val="1"/>
        <w:rPr>
          <w:rFonts w:hint="eastAsia" w:ascii="宋体" w:hAnsi="宋体" w:eastAsia="仿宋_GB2312" w:cs="Times New Roman"/>
          <w:b/>
          <w:color w:val="auto"/>
          <w:kern w:val="2"/>
          <w:sz w:val="28"/>
          <w:highlight w:val="none"/>
          <w:lang w:val="en-US" w:eastAsia="zh-CN" w:bidi="ar-SA"/>
        </w:rPr>
      </w:pPr>
      <w:bookmarkStart w:id="19" w:name="_Toc68613960"/>
      <w:r>
        <w:rPr>
          <w:rFonts w:hint="eastAsia" w:ascii="宋体" w:hAnsi="宋体" w:eastAsia="仿宋_GB2312" w:cs="Times New Roman"/>
          <w:b/>
          <w:color w:val="auto"/>
          <w:kern w:val="2"/>
          <w:sz w:val="28"/>
          <w:highlight w:val="none"/>
          <w:lang w:val="en-US" w:eastAsia="zh-CN" w:bidi="ar-SA"/>
        </w:rPr>
        <w:t>三、实施范围</w:t>
      </w:r>
      <w:bookmarkEnd w:id="19"/>
    </w:p>
    <w:p>
      <w:pPr>
        <w:spacing w:line="400" w:lineRule="exact"/>
        <w:ind w:left="105" w:leftChars="50" w:right="105" w:rightChars="50" w:firstLine="480" w:firstLineChars="200"/>
        <w:jc w:val="left"/>
        <w:rPr>
          <w:rFonts w:hint="eastAsia" w:ascii="Times New Roman" w:hAnsi="宋体" w:eastAsia="仿宋_GB2312" w:cs="Times New Roman"/>
          <w:b/>
          <w:bCs/>
          <w:color w:val="auto"/>
          <w:kern w:val="2"/>
          <w:sz w:val="24"/>
          <w:highlight w:val="none"/>
        </w:rPr>
      </w:pPr>
      <w:r>
        <w:rPr>
          <w:rFonts w:hint="eastAsia" w:ascii="Times New Roman" w:hAnsi="宋体" w:eastAsia="仿宋_GB2312" w:cs="Times New Roman"/>
          <w:snapToGrid w:val="0"/>
          <w:color w:val="auto"/>
          <w:kern w:val="2"/>
          <w:sz w:val="24"/>
          <w:highlight w:val="none"/>
        </w:rPr>
        <w:t>采购人可以根据自己单位信息化的进展情况，决定全部测评或部分测评，并根据实际测评系统的数量与单价支付测评费用。</w:t>
      </w:r>
    </w:p>
    <w:p>
      <w:pPr>
        <w:keepNext/>
        <w:keepLines/>
        <w:widowControl w:val="0"/>
        <w:adjustRightInd w:val="0"/>
        <w:snapToGrid w:val="0"/>
        <w:spacing w:line="240" w:lineRule="auto"/>
        <w:outlineLvl w:val="1"/>
        <w:rPr>
          <w:rFonts w:hint="eastAsia" w:ascii="宋体" w:hAnsi="宋体" w:eastAsia="仿宋_GB2312" w:cs="Times New Roman"/>
          <w:b/>
          <w:color w:val="auto"/>
          <w:kern w:val="2"/>
          <w:sz w:val="28"/>
          <w:highlight w:val="none"/>
          <w:lang w:val="en-US" w:eastAsia="zh-CN" w:bidi="ar-SA"/>
        </w:rPr>
      </w:pPr>
      <w:bookmarkStart w:id="20" w:name="_Toc68613961"/>
      <w:bookmarkStart w:id="21" w:name="_Toc505608532"/>
      <w:bookmarkStart w:id="22" w:name="_Toc60672048"/>
      <w:bookmarkStart w:id="23" w:name="_Toc267320051"/>
      <w:r>
        <w:rPr>
          <w:rFonts w:hint="eastAsia" w:ascii="宋体" w:hAnsi="宋体" w:eastAsia="仿宋_GB2312" w:cs="Times New Roman"/>
          <w:b/>
          <w:color w:val="auto"/>
          <w:kern w:val="2"/>
          <w:sz w:val="28"/>
          <w:highlight w:val="none"/>
          <w:lang w:val="en-US" w:eastAsia="zh-CN" w:bidi="ar-SA"/>
        </w:rPr>
        <w:t>四、付款方式</w:t>
      </w:r>
      <w:bookmarkEnd w:id="20"/>
      <w:bookmarkEnd w:id="21"/>
      <w:bookmarkEnd w:id="22"/>
      <w:bookmarkEnd w:id="23"/>
    </w:p>
    <w:p>
      <w:pPr>
        <w:snapToGrid w:val="0"/>
        <w:spacing w:line="400" w:lineRule="exact"/>
        <w:ind w:firstLine="480" w:firstLineChars="200"/>
        <w:jc w:val="left"/>
        <w:rPr>
          <w:rFonts w:hint="eastAsia" w:ascii="Times New Roman" w:hAnsi="宋体" w:eastAsia="仿宋_GB2312" w:cs="Times New Roman"/>
          <w:color w:val="FF0000"/>
          <w:kern w:val="2"/>
          <w:sz w:val="24"/>
          <w:highlight w:val="none"/>
        </w:rPr>
      </w:pPr>
      <w:bookmarkStart w:id="24" w:name="_Toc267320052"/>
      <w:bookmarkStart w:id="25" w:name="_Toc505608533"/>
      <w:bookmarkStart w:id="26" w:name="_Toc60672049"/>
      <w:r>
        <w:rPr>
          <w:rFonts w:hint="eastAsia" w:ascii="Times New Roman" w:hAnsi="宋体" w:eastAsia="仿宋_GB2312" w:cs="Times New Roman"/>
          <w:color w:val="000000"/>
          <w:kern w:val="2"/>
          <w:sz w:val="24"/>
          <w:highlight w:val="none"/>
        </w:rPr>
        <w:t>项目通过采购人验收合格，并移交最终测评报告与发票后30个工作日内，采购人支付测评合同金额的95%；剩余5%自采购人签署验收报告之日起1年内</w:t>
      </w:r>
      <w:r>
        <w:rPr>
          <w:rFonts w:hint="eastAsia" w:ascii="Times New Roman" w:hAnsi="宋体" w:eastAsia="仿宋_GB2312" w:cs="Times New Roman"/>
          <w:color w:val="000000"/>
          <w:kern w:val="2"/>
          <w:sz w:val="24"/>
          <w:highlight w:val="none"/>
          <w:lang w:eastAsia="zh-CN"/>
        </w:rPr>
        <w:t>中标人</w:t>
      </w:r>
      <w:r>
        <w:rPr>
          <w:rFonts w:hint="eastAsia" w:ascii="Times New Roman" w:hAnsi="宋体" w:eastAsia="仿宋_GB2312" w:cs="Times New Roman"/>
          <w:color w:val="000000"/>
          <w:kern w:val="2"/>
          <w:sz w:val="24"/>
          <w:highlight w:val="none"/>
        </w:rPr>
        <w:t>完成安全监测服务后，一次性付清。</w:t>
      </w:r>
    </w:p>
    <w:bookmarkEnd w:id="24"/>
    <w:bookmarkEnd w:id="25"/>
    <w:bookmarkEnd w:id="26"/>
    <w:p>
      <w:pPr>
        <w:jc w:val="left"/>
        <w:rPr>
          <w:rFonts w:hint="eastAsia"/>
          <w:b/>
          <w:color w:val="FF0000"/>
          <w:sz w:val="28"/>
          <w:szCs w:val="28"/>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49F06E1"/>
    <w:rsid w:val="3C523F9D"/>
    <w:rsid w:val="60701C05"/>
    <w:rsid w:val="64C50CB4"/>
    <w:rsid w:val="710C1EC5"/>
    <w:rsid w:val="74A565C1"/>
    <w:rsid w:val="773E7889"/>
    <w:rsid w:val="77F734C0"/>
    <w:rsid w:val="7B761A97"/>
    <w:rsid w:val="7CC971B4"/>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2"/>
    <w:qFormat/>
    <w:uiPriority w:val="0"/>
    <w:rPr>
      <w:rFonts w:ascii="宋体" w:hAnsi="宋体" w:eastAsia="宋体" w:cs="Times New Roman"/>
      <w:sz w:val="28"/>
      <w:szCs w:val="24"/>
    </w:rPr>
  </w:style>
  <w:style w:type="character" w:customStyle="1" w:styleId="18">
    <w:name w:val="正文文本缩进 Char1"/>
    <w:basedOn w:val="12"/>
    <w:link w:val="2"/>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6"/>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435</Words>
  <Characters>506</Characters>
  <Lines>7</Lines>
  <Paragraphs>2</Paragraphs>
  <TotalTime>2</TotalTime>
  <ScaleCrop>false</ScaleCrop>
  <LinksUpToDate>false</LinksUpToDate>
  <CharactersWithSpaces>564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2024-05-09T09:10:41Z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