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重庆医科大学附属口腔医院</w:t>
      </w:r>
      <w:r>
        <w:rPr>
          <w:rFonts w:hint="eastAsia"/>
          <w:b/>
          <w:sz w:val="44"/>
          <w:szCs w:val="44"/>
          <w:u w:val="single"/>
        </w:rPr>
        <w:t>尚医楼细胞培养室装修项目</w:t>
      </w:r>
      <w:r>
        <w:rPr>
          <w:rFonts w:hint="eastAsia"/>
          <w:b/>
          <w:sz w:val="44"/>
          <w:szCs w:val="44"/>
        </w:rPr>
        <w:t>需求询价公告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</w:t>
      </w:r>
      <w: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报价人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三、需求公告时间2024年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日至2024年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四、报价（需盖章PDF或图片电子版，按照后附报价格式要求）发送：</w:t>
      </w:r>
      <w:r>
        <w:fldChar w:fldCharType="begin"/>
      </w:r>
      <w:r>
        <w:instrText xml:space="preserve"> HYPERLINK "mailto:sjk806@163.com" </w:instrText>
      </w:r>
      <w: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，报价邮件名称和文件名称需写上《       公司重庆医科大学附属口腔医院</w:t>
      </w:r>
      <w:r>
        <w:rPr>
          <w:rFonts w:hint="eastAsia" w:asciiTheme="minorEastAsia" w:hAnsiTheme="minorEastAsia"/>
          <w:b/>
          <w:bCs/>
          <w:sz w:val="28"/>
          <w:szCs w:val="28"/>
        </w:rPr>
        <w:t>尚医楼科研平台细胞培养室装修项目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五、重庆医科大学附属口腔医院,采购联系人：陈老师023-88860001,技术联系人:姜老师023-88602348。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rFonts w:cs="Tahoma" w:asciiTheme="minorEastAsia" w:hAnsiTheme="minorEastAsia"/>
          <w:b/>
          <w:color w:val="333333"/>
          <w:sz w:val="36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36"/>
          <w:szCs w:val="28"/>
          <w:shd w:val="clear" w:color="auto" w:fill="FFFFFF"/>
        </w:rPr>
        <w:t>需求询价信息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一、项目名称：尚医楼科研平台细胞培养室装修项目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二、施工地点：重庆市渝中区医学院路1号（重庆医科大学袁家岗校区尚医楼3楼309房间）</w:t>
      </w: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三、基本情况：</w:t>
      </w:r>
    </w:p>
    <w:p>
      <w:pPr>
        <w:jc w:val="left"/>
        <w:rPr>
          <w:rFonts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（一）项目简述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我院在重庆医科大学袁家岗校区尚医楼3楼309房间（约110平方米）建设细胞培养室，用于我院重点实验室开展细胞培养和相关细胞检测实验。</w:t>
      </w:r>
    </w:p>
    <w:p>
      <w:pPr>
        <w:ind w:firstLine="560" w:firstLineChars="200"/>
        <w:jc w:val="left"/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2.报价人需自行绘制完善设计图且自行编制对应的材料清单明细，报价人</w:t>
      </w:r>
      <w:r>
        <w:rPr>
          <w:rFonts w:hint="eastAsia" w:asciiTheme="minorEastAsia" w:hAnsiTheme="minorEastAsia"/>
          <w:sz w:val="28"/>
          <w:szCs w:val="28"/>
        </w:rPr>
        <w:t>出具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施工图</w:t>
      </w:r>
      <w:r>
        <w:rPr>
          <w:rFonts w:hint="eastAsia" w:asciiTheme="minorEastAsia" w:hAnsiTheme="minorEastAsia"/>
          <w:sz w:val="28"/>
          <w:szCs w:val="28"/>
          <w:lang w:eastAsia="zh-CN"/>
        </w:rPr>
        <w:t>且须</w:t>
      </w:r>
      <w:r>
        <w:rPr>
          <w:rFonts w:hint="eastAsia" w:asciiTheme="minorEastAsia" w:hAnsiTheme="minorEastAsia"/>
          <w:sz w:val="28"/>
          <w:szCs w:val="28"/>
        </w:rPr>
        <w:t>采购人审核后</w:t>
      </w:r>
      <w:r>
        <w:rPr>
          <w:rFonts w:hint="eastAsia" w:asciiTheme="minorEastAsia" w:hAnsiTheme="minorEastAsia"/>
          <w:sz w:val="28"/>
          <w:szCs w:val="28"/>
          <w:lang w:eastAsia="zh-CN"/>
        </w:rPr>
        <w:t>才</w:t>
      </w:r>
      <w:r>
        <w:rPr>
          <w:rFonts w:hint="eastAsia" w:asciiTheme="minorEastAsia" w:hAnsiTheme="minorEastAsia"/>
          <w:sz w:val="28"/>
          <w:szCs w:val="28"/>
        </w:rPr>
        <w:t>可施工。</w:t>
      </w:r>
    </w:p>
    <w:p>
      <w:pPr>
        <w:jc w:val="left"/>
        <w:rPr>
          <w:rFonts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（二）设计要求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1.设计理念：需要满足</w:t>
      </w:r>
      <w:r>
        <w:rPr>
          <w:rFonts w:hint="eastAsia" w:asciiTheme="minorEastAsia" w:hAnsiTheme="minorEastAsia"/>
          <w:color w:val="auto"/>
          <w:sz w:val="28"/>
          <w:szCs w:val="28"/>
        </w:rPr>
        <w:t>行业标准（《GB/T 42398-2023细胞培养洁净室设计技术规范》）的</w:t>
      </w:r>
      <w:r>
        <w:rPr>
          <w:rFonts w:hint="eastAsia" w:asciiTheme="minorEastAsia" w:hAnsiTheme="minorEastAsia"/>
          <w:sz w:val="28"/>
          <w:szCs w:val="28"/>
        </w:rPr>
        <w:t>基础上，遵循将现有面积最大化利用原则，设计出数量足够多的独立细胞培养间，同时保障层流区域的面积。层流区域整体设计为万级洁净层流。因细胞培养室房间四周不通风，因此在通风系统需配备臭氧灭菌系统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设计方案：在围护结构材料（防火等级）以及智能控制方面优于行业标准，能有效减少人为的误操作导致影响实验室整体运行效率，增加实验室使用寿命。智能控制包括二氧化碳气体控制（气瓶的自动切换、低压和泄漏报警），以及房间压力和洁净度的控制和报警等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3.设计容量：细胞培养室可容纳20人同时在超净工作台进行实验操作。每天可满足约100人次细胞实验操作（按每次实验2小时计算）。</w:t>
      </w: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（三）房间布局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1.非层流区：包括工作前及工作后准备室1间（液氮罐放置，手卫生）、喷淋系统、气瓶室一间。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2.层流区：包括更衣室1间、缓冲区1处、独立细胞培养间5个、准备间1个（倒置荧光显微镜公区）。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3.平面布局图：</w:t>
      </w:r>
    </w:p>
    <w:p>
      <w:pPr>
        <w:ind w:firstLine="420" w:firstLineChars="200"/>
        <w:jc w:val="left"/>
      </w:pPr>
      <w:r>
        <w:drawing>
          <wp:inline distT="0" distB="0" distL="114300" distR="114300">
            <wp:extent cx="3687445" cy="459930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0" w:firstLineChars="1200"/>
        <w:jc w:val="left"/>
      </w:pPr>
      <w:r>
        <w:rPr>
          <w:rFonts w:hint="eastAsia"/>
        </w:rPr>
        <w:t>（原始平面图）</w:t>
      </w:r>
    </w:p>
    <w:p>
      <w:pPr>
        <w:ind w:firstLine="420" w:firstLineChars="200"/>
        <w:jc w:val="left"/>
      </w:pPr>
      <w:r>
        <w:drawing>
          <wp:inline distT="0" distB="0" distL="114300" distR="114300">
            <wp:extent cx="3938905" cy="4879340"/>
            <wp:effectExtent l="0" t="0" r="444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310" w:firstLineChars="1100"/>
        <w:jc w:val="left"/>
      </w:pPr>
      <w:r>
        <w:rPr>
          <w:rFonts w:hint="eastAsia"/>
        </w:rPr>
        <w:t>（平面布局图）</w:t>
      </w:r>
    </w:p>
    <w:p>
      <w:pPr>
        <w:ind w:firstLine="420" w:firstLineChars="200"/>
        <w:jc w:val="left"/>
      </w:pP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（四）验收标准</w:t>
      </w:r>
    </w:p>
    <w:p>
      <w:pPr>
        <w:ind w:firstLine="560" w:firstLineChars="200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依据2023年3月17日国家市场监督管理总局和国家标准化管理委员会发布《GB/T 42398-2023细胞培养洁净室设计技术规范》标准验收。</w:t>
      </w: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（五）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工期及</w:t>
      </w:r>
      <w:r>
        <w:rPr>
          <w:rFonts w:hint="eastAsia" w:asciiTheme="minorEastAsia" w:hAnsiTheme="minorEastAsia"/>
          <w:b/>
          <w:bCs/>
          <w:sz w:val="28"/>
          <w:szCs w:val="28"/>
        </w:rPr>
        <w:t>质保期</w:t>
      </w:r>
    </w:p>
    <w:p>
      <w:pPr>
        <w:ind w:firstLine="560" w:firstLineChars="2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1.施工工期：60个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日历日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装修工程2年，安装工程5年，防水工程5年。</w:t>
      </w: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（六）现场踏勘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报价人可前往现场查勘情况，以便更好了解具体情况和工程量。我院将在4月2日（周二）</w:t>
      </w:r>
      <w:r>
        <w:rPr>
          <w:rFonts w:asciiTheme="minorEastAsia" w:hAnsiTheme="minorEastAsia"/>
          <w:sz w:val="28"/>
          <w:szCs w:val="28"/>
        </w:rPr>
        <w:t>（暂定）</w:t>
      </w:r>
      <w:r>
        <w:rPr>
          <w:rFonts w:hint="eastAsia" w:asciiTheme="minorEastAsia" w:hAnsiTheme="minorEastAsia"/>
          <w:sz w:val="28"/>
          <w:szCs w:val="28"/>
        </w:rPr>
        <w:t>统一组织踏勘现场，报价人如需踏勘现场需联系姜老师023-88602348。</w:t>
      </w:r>
    </w:p>
    <w:p>
      <w:pPr>
        <w:pStyle w:val="6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</w:t>
      </w:r>
      <w:r>
        <w:rPr>
          <w:rFonts w:asciiTheme="minorEastAsia" w:hAnsiTheme="minorEastAsia" w:eastAsiaTheme="minorEastAsia"/>
          <w:b/>
          <w:sz w:val="28"/>
          <w:szCs w:val="28"/>
        </w:rPr>
        <w:t>报价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方式</w:t>
      </w:r>
      <w:r>
        <w:rPr>
          <w:rFonts w:asciiTheme="minorEastAsia" w:hAnsiTheme="minorEastAsia" w:eastAsiaTheme="minorEastAsia"/>
          <w:b/>
          <w:sz w:val="28"/>
          <w:szCs w:val="28"/>
        </w:rPr>
        <w:t>及范围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（一）报价方式：本次报价须为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全费用</w:t>
      </w:r>
      <w:r>
        <w:rPr>
          <w:rFonts w:asciiTheme="minorEastAsia" w:hAnsiTheme="minorEastAsia"/>
          <w:b/>
          <w:bCs/>
          <w:sz w:val="28"/>
          <w:szCs w:val="28"/>
          <w:u w:val="single"/>
        </w:rPr>
        <w:t>综合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单价报价（包干价）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（二）报价范围：报价需</w:t>
      </w:r>
      <w:r>
        <w:rPr>
          <w:rFonts w:hint="eastAsia" w:asciiTheme="minorEastAsia" w:hAnsiTheme="minorEastAsia"/>
          <w:sz w:val="28"/>
          <w:szCs w:val="28"/>
          <w:highlight w:val="none"/>
        </w:rPr>
        <w:t>含设计费、措施费、材料费（包括强弱电、照明、给排水、门窗、暖通、净化空调、供气、网络布线、定制操作台、更衣柜、洗手台、消防烟杆（喷淋）等）、人工费、运输费（含装卸费）、保险费、税费、安全文明施工费等所有费用。不含各种培养箱、冰箱、灭菌锅、门禁系统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（三）报价形式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自行完善设计</w:t>
      </w:r>
      <w:r>
        <w:rPr>
          <w:rFonts w:hint="eastAsia" w:asciiTheme="minorEastAsia" w:hAnsiTheme="minorEastAsia"/>
          <w:sz w:val="28"/>
          <w:szCs w:val="28"/>
        </w:rPr>
        <w:t>明确施工</w:t>
      </w:r>
      <w:r>
        <w:rPr>
          <w:rFonts w:asciiTheme="minorEastAsia" w:hAnsiTheme="minorEastAsia"/>
          <w:sz w:val="28"/>
          <w:szCs w:val="28"/>
        </w:rPr>
        <w:t>做法，</w:t>
      </w:r>
      <w:r>
        <w:rPr>
          <w:rFonts w:hint="eastAsia" w:asciiTheme="minorEastAsia" w:hAnsiTheme="minorEastAsia"/>
          <w:sz w:val="28"/>
          <w:szCs w:val="28"/>
        </w:rPr>
        <w:t>提供具体施工方案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及施工明细</w:t>
      </w:r>
      <w:r>
        <w:rPr>
          <w:rFonts w:hint="eastAsia" w:asciiTheme="minorEastAsia" w:hAnsiTheme="minorEastAsia"/>
          <w:sz w:val="28"/>
          <w:szCs w:val="28"/>
        </w:rPr>
        <w:t>，全费用</w:t>
      </w:r>
      <w:r>
        <w:rPr>
          <w:rFonts w:asciiTheme="minorEastAsia" w:hAnsiTheme="minorEastAsia"/>
          <w:sz w:val="28"/>
          <w:szCs w:val="28"/>
        </w:rPr>
        <w:t>综合</w:t>
      </w:r>
      <w:r>
        <w:rPr>
          <w:rFonts w:hint="eastAsia" w:asciiTheme="minorEastAsia" w:hAnsiTheme="minorEastAsia"/>
          <w:sz w:val="28"/>
          <w:szCs w:val="28"/>
        </w:rPr>
        <w:t>单价报价（包干价）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6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五、资格</w:t>
      </w:r>
      <w:r>
        <w:rPr>
          <w:rFonts w:asciiTheme="minorEastAsia" w:hAnsiTheme="minorEastAsia" w:eastAsiaTheme="minorEastAsia"/>
          <w:b/>
          <w:sz w:val="28"/>
          <w:szCs w:val="28"/>
        </w:rPr>
        <w:t>要求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（一）具有独立承担民事责任的能力；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（二）具有良好的商业信誉和健全的财务会计制度；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（三）具有履行合同所必需的设备和专业技术能力；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（四）有依法缴纳税收和社会保障资金的良好记录；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（五）参加采购活动前三年内，在经营活动中没有重大违法记录；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（六）法律、行政法规规定的其他条件；</w:t>
      </w:r>
    </w:p>
    <w:p>
      <w:pPr>
        <w:pStyle w:val="6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六、特定资格要求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（一）建设行政主管部门颁发的</w:t>
      </w:r>
      <w:r>
        <w:rPr>
          <w:rFonts w:hint="eastAsia" w:asciiTheme="minorEastAsia" w:hAnsiTheme="minorEastAsia"/>
          <w:sz w:val="28"/>
          <w:szCs w:val="28"/>
          <w:highlight w:val="none"/>
        </w:rPr>
        <w:t>工程设计综合甲级资质</w:t>
      </w:r>
      <w:r>
        <w:rPr>
          <w:rFonts w:hint="eastAsia" w:asciiTheme="minorEastAsia" w:hAnsiTheme="minorEastAsia"/>
          <w:sz w:val="28"/>
          <w:szCs w:val="28"/>
        </w:rPr>
        <w:t>（提供证明材料，加盖报价单位公章）；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（二）建设行政主管部门颁</w:t>
      </w:r>
      <w:r>
        <w:rPr>
          <w:rFonts w:hint="eastAsia" w:asciiTheme="minorEastAsia" w:hAnsiTheme="minorEastAsia"/>
          <w:sz w:val="28"/>
          <w:szCs w:val="28"/>
          <w:highlight w:val="none"/>
        </w:rPr>
        <w:t>发机电工程施工总承包三级（</w:t>
      </w:r>
      <w:r>
        <w:rPr>
          <w:rFonts w:hint="eastAsia" w:asciiTheme="minorEastAsia" w:hAnsiTheme="minorEastAsia"/>
          <w:sz w:val="28"/>
          <w:szCs w:val="28"/>
        </w:rPr>
        <w:t>提供证明材料，加盖报价单位公章）；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（三）建设行政主管</w:t>
      </w:r>
      <w:r>
        <w:rPr>
          <w:rFonts w:hint="eastAsia" w:asciiTheme="minorEastAsia" w:hAnsiTheme="minorEastAsia"/>
          <w:sz w:val="28"/>
          <w:szCs w:val="28"/>
          <w:highlight w:val="none"/>
        </w:rPr>
        <w:t>部门颁发建筑装修装饰工程专业承包二级及以上</w:t>
      </w:r>
      <w:r>
        <w:rPr>
          <w:rFonts w:hint="eastAsia" w:asciiTheme="minorEastAsia" w:hAnsiTheme="minorEastAsia"/>
          <w:sz w:val="28"/>
          <w:szCs w:val="28"/>
        </w:rPr>
        <w:t>资质（提供证明材料，加盖报价单位公章）。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付款方式</w:t>
      </w:r>
    </w:p>
    <w:p>
      <w:pPr>
        <w:ind w:firstLine="560" w:firstLineChars="200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施工完毕后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个工作日内，组织</w:t>
      </w:r>
      <w:r>
        <w:rPr>
          <w:rFonts w:asciiTheme="minorEastAsia" w:hAnsiTheme="minorEastAsia"/>
          <w:sz w:val="28"/>
          <w:szCs w:val="28"/>
        </w:rPr>
        <w:t>竣工验收合格后一次性支付合同</w:t>
      </w:r>
      <w:r>
        <w:rPr>
          <w:rFonts w:hint="eastAsia" w:asciiTheme="minorEastAsia" w:hAnsiTheme="minorEastAsia"/>
          <w:sz w:val="28"/>
          <w:szCs w:val="28"/>
        </w:rPr>
        <w:t>价款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</w:rPr>
        <w:t>97</w:t>
      </w:r>
      <w:r>
        <w:rPr>
          <w:rFonts w:asciiTheme="minorEastAsia" w:hAnsiTheme="minorEastAsia"/>
          <w:sz w:val="28"/>
          <w:szCs w:val="28"/>
        </w:rPr>
        <w:t>%</w:t>
      </w:r>
      <w:r>
        <w:rPr>
          <w:rFonts w:hint="eastAsia" w:asciiTheme="minorEastAsia" w:hAnsiTheme="minorEastAsia"/>
          <w:sz w:val="28"/>
          <w:szCs w:val="28"/>
        </w:rPr>
        <w:t>。余下的3%作为工程质保金，</w:t>
      </w:r>
      <w:r>
        <w:rPr>
          <w:rFonts w:asciiTheme="minorEastAsia" w:hAnsiTheme="minorEastAsia"/>
          <w:sz w:val="28"/>
          <w:szCs w:val="28"/>
        </w:rPr>
        <w:t>竣工验收合格</w:t>
      </w:r>
      <w:r>
        <w:rPr>
          <w:rFonts w:hint="eastAsia" w:asciiTheme="minorEastAsia" w:hAnsiTheme="minorEastAsia"/>
          <w:sz w:val="28"/>
          <w:szCs w:val="28"/>
        </w:rPr>
        <w:t>之日起</w:t>
      </w:r>
      <w:r>
        <w:rPr>
          <w:rFonts w:asciiTheme="minorEastAsia" w:hAnsiTheme="minorEastAsia"/>
          <w:sz w:val="28"/>
          <w:szCs w:val="28"/>
        </w:rPr>
        <w:t>满</w:t>
      </w:r>
      <w:r>
        <w:rPr>
          <w:rFonts w:hint="eastAsia" w:asciiTheme="minorEastAsia" w:hAnsiTheme="minorEastAsia"/>
          <w:sz w:val="28"/>
          <w:szCs w:val="28"/>
        </w:rPr>
        <w:t>2年（如有防水工程需满5年）后</w:t>
      </w:r>
      <w:r>
        <w:rPr>
          <w:rFonts w:asciiTheme="minorEastAsia" w:hAnsiTheme="minorEastAsia"/>
          <w:sz w:val="28"/>
          <w:szCs w:val="28"/>
        </w:rPr>
        <w:t>支付</w:t>
      </w:r>
      <w:r>
        <w:rPr>
          <w:rFonts w:hint="eastAsia" w:asciiTheme="minorEastAsia" w:hAnsiTheme="minorEastAsia"/>
          <w:sz w:val="28"/>
          <w:szCs w:val="28"/>
        </w:rPr>
        <w:t>，不计算利息。</w:t>
      </w:r>
    </w:p>
    <w:p>
      <w:pPr>
        <w:spacing w:before="240" w:after="240"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spacing w:before="240" w:after="240"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：报价表</w:t>
      </w:r>
    </w:p>
    <w:p>
      <w:pPr>
        <w:spacing w:before="240" w:after="240"/>
        <w:jc w:val="center"/>
        <w:rPr>
          <w:rFonts w:ascii="Calibri" w:hAnsi="Calibri" w:eastAsia="宋体" w:cs="Times New Roman"/>
          <w:b/>
          <w:bCs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尚医楼科研平台细胞培养室装修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u w:val="single"/>
        </w:rPr>
        <w:t>项目</w:t>
      </w:r>
    </w:p>
    <w:tbl>
      <w:tblPr>
        <w:tblStyle w:val="3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报价：         元（总价包干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附报价明细表</w:t>
            </w:r>
            <w:r>
              <w:rPr>
                <w:rFonts w:hint="eastAsia" w:ascii="宋体" w:hAnsi="宋体" w:eastAsia="宋体" w:cs="宋体"/>
                <w:sz w:val="24"/>
              </w:rPr>
              <w:t>），</w:t>
            </w:r>
            <w:r>
              <w:rPr>
                <w:rFonts w:ascii="宋体" w:hAnsi="宋体" w:eastAsia="宋体" w:cs="宋体"/>
                <w:sz w:val="24"/>
              </w:rPr>
              <w:t>工期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日历日</w:t>
            </w:r>
            <w:r>
              <w:rPr>
                <w:rFonts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全费用</w:t>
            </w:r>
            <w:r>
              <w:rPr>
                <w:rFonts w:ascii="宋体" w:hAnsi="宋体" w:eastAsia="宋体" w:cs="Times New Roman"/>
                <w:sz w:val="24"/>
              </w:rPr>
              <w:t>综合</w:t>
            </w:r>
            <w:r>
              <w:rPr>
                <w:rFonts w:hint="eastAsia" w:ascii="宋体" w:hAnsi="宋体" w:eastAsia="宋体" w:cs="Times New Roman"/>
                <w:sz w:val="24"/>
              </w:rPr>
              <w:t>单价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40" w:after="240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spacing w:before="240" w:after="240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spacing w:before="240" w:after="240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spacing w:before="240" w:after="240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spacing w:before="240" w:after="240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spacing w:before="240" w:after="240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附件二：报价明细表</w:t>
      </w:r>
    </w:p>
    <w:p>
      <w:pPr>
        <w:spacing w:before="240" w:after="240"/>
        <w:jc w:val="center"/>
        <w:rPr>
          <w:rFonts w:hint="default" w:ascii="Calibri" w:hAnsi="Calibri" w:eastAsia="宋体" w:cs="Times New Roman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尚医楼科研平台细胞培养室装修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u w:val="single"/>
        </w:rPr>
        <w:t>项目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报价明细表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21"/>
        <w:gridCol w:w="1322"/>
        <w:gridCol w:w="1322"/>
        <w:gridCol w:w="1323"/>
        <w:gridCol w:w="132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工程项目</w:t>
            </w: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240" w:after="240"/>
              <w:jc w:val="center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921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240" w:after="240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before="240" w:after="240"/>
        <w:rPr>
          <w:rFonts w:hint="default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537CD"/>
    <w:multiLevelType w:val="multilevel"/>
    <w:tmpl w:val="7FF537C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9af0242-1e78-44e5-9ab1-7c9f989fa94a"/>
  </w:docVars>
  <w:rsids>
    <w:rsidRoot w:val="009426F1"/>
    <w:rsid w:val="00527EEB"/>
    <w:rsid w:val="006E362B"/>
    <w:rsid w:val="009426F1"/>
    <w:rsid w:val="0B0E3AE5"/>
    <w:rsid w:val="10D23096"/>
    <w:rsid w:val="15692B95"/>
    <w:rsid w:val="25E77311"/>
    <w:rsid w:val="264657CC"/>
    <w:rsid w:val="2ED65698"/>
    <w:rsid w:val="30823F69"/>
    <w:rsid w:val="309B74EA"/>
    <w:rsid w:val="34607EE4"/>
    <w:rsid w:val="373806EC"/>
    <w:rsid w:val="38401415"/>
    <w:rsid w:val="3B872926"/>
    <w:rsid w:val="3FDADD3F"/>
    <w:rsid w:val="45465D4E"/>
    <w:rsid w:val="4AB1296E"/>
    <w:rsid w:val="4AE1213B"/>
    <w:rsid w:val="4CB4400D"/>
    <w:rsid w:val="4D011D31"/>
    <w:rsid w:val="4E724BE8"/>
    <w:rsid w:val="547855D3"/>
    <w:rsid w:val="580F6D5C"/>
    <w:rsid w:val="5A096B93"/>
    <w:rsid w:val="6BF75F00"/>
    <w:rsid w:val="6C387ED0"/>
    <w:rsid w:val="6CDB70EE"/>
    <w:rsid w:val="6F563C74"/>
    <w:rsid w:val="71683EC4"/>
    <w:rsid w:val="77026FC5"/>
    <w:rsid w:val="77F59B79"/>
    <w:rsid w:val="7B351D63"/>
    <w:rsid w:val="7B386668"/>
    <w:rsid w:val="FDFEF5B9"/>
    <w:rsid w:val="FFD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1808</Words>
  <Characters>1918</Characters>
  <Lines>13</Lines>
  <Paragraphs>3</Paragraphs>
  <TotalTime>10</TotalTime>
  <ScaleCrop>false</ScaleCrop>
  <LinksUpToDate>false</LinksUpToDate>
  <CharactersWithSpaces>1962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2023-09-19T08:55:00Z</dcterms:created>
  <dc:creator>Administrator</dc:creator>
  <cp:lastModifiedBy>小陈Clam</cp:lastModifiedBy>
  <cp:lastPrinted>2023-11-27T08:47:00Z</cp:lastPrinted>
  <dcterms:modified xsi:type="dcterms:W3CDTF">2024-03-29T09:28:57Z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CE0F33CA424F4ADD81D7864B04C3121C_13</vt:lpwstr>
  </property>
</Properties>
</file>