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式发布招标公告的技术要求为准。</w:t>
      </w:r>
    </w:p>
    <w:p>
      <w:pPr>
        <w:rPr>
          <w:rFonts w:cs="Tahoma" w:asciiTheme="minorEastAsia" w:hAnsiTheme="minorEastAsia"/>
          <w:b/>
          <w:color w:val="FF0000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邹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88765626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>净化空调维保服务采购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项目</w:t>
      </w:r>
    </w:p>
    <w:tbl>
      <w:tblPr>
        <w:tblStyle w:val="14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报价：总价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附过滤器单价报价表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，更换零配件的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期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报价要求具体见附件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r>
        <w:br w:type="page"/>
      </w:r>
    </w:p>
    <w:p>
      <w:pPr>
        <w:pStyle w:val="2"/>
        <w:ind w:firstLine="482" w:firstLineChars="20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附件：</w:t>
      </w:r>
    </w:p>
    <w:p>
      <w:pPr>
        <w:pStyle w:val="2"/>
        <w:ind w:firstLine="482" w:firstLineChars="200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一、服务内容</w:t>
      </w:r>
    </w:p>
    <w:tbl>
      <w:tblPr>
        <w:tblStyle w:val="1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93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名   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净化空调维保服务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采购项目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>服务期3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</w:p>
        </w:tc>
      </w:tr>
    </w:tbl>
    <w:p>
      <w:pPr>
        <w:widowControl/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报价人经营范围具备净化设备的销售或技术服务。</w:t>
      </w:r>
    </w:p>
    <w:p>
      <w:pPr>
        <w:pStyle w:val="2"/>
        <w:ind w:firstLine="482" w:firstLineChars="20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二、服务基本要求</w:t>
      </w:r>
    </w:p>
    <w:p>
      <w:pPr>
        <w:pStyle w:val="2"/>
        <w:spacing w:line="360" w:lineRule="auto"/>
        <w:ind w:firstLine="482" w:firstLineChars="200"/>
        <w:rPr>
          <w:rFonts w:hint="default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Toc21425646"/>
      <w:bookmarkStart w:id="1" w:name="_Toc44255844"/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（一）维保范围</w:t>
      </w:r>
    </w:p>
    <w:p>
      <w:pPr>
        <w:widowControl/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本项目为冉家坝院区手术室洁净手术部以及重点实验室18楼净化系统。冉家坝洁净手术部净化系统共3间洁净手术室及配套洁净辅助用房，冉家坝18楼实验室净化系统目前使用面积大约200㎡。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2" w:firstLineChars="200"/>
        <w:jc w:val="left"/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（二）维保主要内容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净化空调的内外机组系统（含外机定时清洗），电动门系统等，除本维保范围内单独购置的设备，比如麻醉机、呼吸机、手术室吊塔、无影灯、手术床、实验室内生物安全柜、无菌操作台设备不在此维护保养范围之内外，其余所有设备定时维保、维修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（</w:t>
      </w:r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三）维保方案执行依据</w:t>
      </w:r>
      <w:r>
        <w:rPr>
          <w:rFonts w:hint="eastAsia" w:ascii="方正仿宋_GBK" w:hAnsi="宋体" w:eastAsia="方正仿宋_GBK" w:cstheme="minorBidi"/>
          <w:b w:val="0"/>
          <w:bCs w:val="0"/>
          <w:kern w:val="2"/>
          <w:sz w:val="24"/>
          <w:szCs w:val="24"/>
          <w:lang w:val="en-US" w:eastAsia="zh-CN" w:bidi="ar-SA"/>
        </w:rPr>
        <w:t>（如有最新规范按最新的执行）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1、《医院空气净化管理规范》WS/T368—2012。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2、《医院洁净手术部建筑技术规范》GB50333-2013。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default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3、国家相关法律法规。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2" w:firstLineChars="200"/>
        <w:jc w:val="left"/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（四）拟派项目负责人要求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拟派本项目维保工程师的数量不低于2人，其中1人具备电工证，另外1人具备焊工证，并提供证明材料：包括上述2人的电工证、焊工证的复印件并加盖公司鲜章；上述2人近3个月在供应商缴纳社保的证明资料复印件并加盖公司鲜章等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维保单位应保证承担本项目的日常维保人员长期固定，若无特殊情况，不得随意更换维保人员。每次维保单位更换固定维保人员时，须提前做好交接掌握采购人实际情况，并向采购人提交人员变更说明（纸质件盖章）和人员证件。若维保期间一年内人员变更超过2次，扣除1个月维保服务费，采购人有权单方面解除合同。发现维保人员无相关证件，采购人有权单方面解除合同。</w:t>
      </w:r>
    </w:p>
    <w:p>
      <w:pPr>
        <w:pStyle w:val="2"/>
        <w:spacing w:line="360" w:lineRule="auto"/>
        <w:ind w:firstLine="482" w:firstLineChars="200"/>
        <w:rPr>
          <w:rFonts w:hint="default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（五）其他服务要求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1、电话每周7×24小时；须提供全年365天24小时的应急响应服务，并确保通讯畅通。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2.每月至少1次对上述净化系统进行巡检，进行预防性服务，确保系统可靠运行，并提供书面的巡检报告；若发生紧急故障，必须在1小时内到达现场；若发生一般故障，要求在接电话后30分钟内响应，2小时内到达现场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3.确系设备损坏等原因无法完全恢复的，应将系统故障降至最低，同时写出书面的维修报告，确定解决办法和最后期限。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4.所有配件采购人均可自行购买和提供，中标方须无条件提供免费安装服务。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5.合同到期未能续签或提前终止时，报价人必须将所有采购人提供的物品（包括资料等）和报价人在合同维保期间所有的维保资料归还采购人，报价人不得擅自留存或备份。否则，由此产生的不利后果由报价人承担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2" w:firstLineChars="200"/>
        <w:jc w:val="left"/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（六）零配件相关要求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1、维保期内，维修和更换主要材料设备，单价在200元以下的（包括200元）和下表中所示内容应由投标方免费提供并维修安装；单价高于200元以上的，由采购人单独购买，维修和更换所需的辅料及工具由维保单位承担。</w:t>
      </w:r>
    </w:p>
    <w:tbl>
      <w:tblPr>
        <w:tblStyle w:val="1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第一部分：控制系统和空调系统常备的配件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杀菌灯管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电子镇流器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电源指示灯，工作指示灯，故障指示灯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螺丝、螺帽、螺栓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密封条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风机皮带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空气开关（三相）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交流接触器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玻璃胶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第二部分、水系统及加湿器配件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过滤器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风帽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防锈涂料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生胶带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第三部分、手术室配套设备，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门锁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天花照明电子镇流器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灯管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 xml:space="preserve">电源开关，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灯开关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内嵌设备的五金件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观片灯的灯管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电源插座。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输液架的零件（如上下螺盖、底钩等）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 xml:space="preserve">第四部分、电动门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电动门滑动轮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 xml:space="preserve">皮带轮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手动触点开关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电动门手术室指示灯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 xml:space="preserve">第五部分、洗手池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进、出水软接管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角阀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3" w:type="dxa"/>
            <w:gridSpan w:val="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第六部分、日常辅料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电工胶布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强电线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信号线（弱电线）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润滑油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82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right="105" w:rightChars="50" w:firstLine="480" w:firstLineChars="200"/>
              <w:jc w:val="left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消毒酒精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三、服务期、服务地点及验收</w:t>
      </w:r>
      <w:bookmarkEnd w:id="0"/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标准</w:t>
      </w:r>
      <w:bookmarkEnd w:id="1"/>
    </w:p>
    <w:p>
      <w:pPr>
        <w:snapToGrid w:val="0"/>
        <w:spacing w:line="400" w:lineRule="exact"/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（一）服务期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服务期3年。</w:t>
      </w:r>
    </w:p>
    <w:p>
      <w:pPr>
        <w:snapToGrid w:val="0"/>
        <w:spacing w:line="400" w:lineRule="exact"/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（二）服务地点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重庆市渝北区松石北路426号重庆医科大学附属口腔医院冉家坝院区。</w:t>
      </w:r>
    </w:p>
    <w:p>
      <w:pPr>
        <w:numPr>
          <w:ilvl w:val="0"/>
          <w:numId w:val="1"/>
        </w:numPr>
        <w:spacing w:line="40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验收标准和考核办法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bookmarkStart w:id="2" w:name="_Toc21425647"/>
      <w:bookmarkStart w:id="3" w:name="_Toc44255845"/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1、维保验收标准：《医院洁净手术部建筑技术规范》GB50333-2002、《医院空气净化管理规范》WS/T368—2012、《医院洁净手术部建筑技术规范》GB50333-2013。如有最新规范按最新规范执行。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2、维保质量验收执行国家相关标准，检测报告由具有资质的检测机构出具，如达到标准费用由采购人承担，如达不到标准，费用由乙方承担，直至合同为止。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3、按时填写和提交书面维保报告，每半年提交一次书面报告汇总的扫描件和纸质版。</w:t>
      </w: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维护保养记录报告等必须要有使用部门和职能部门的签字确认，否则视为无效记录（报告）。</w:t>
      </w:r>
    </w:p>
    <w:p>
      <w:pPr>
        <w:pStyle w:val="2"/>
        <w:ind w:firstLine="48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4、维保考核办法（每半年考核一次），参照附件一：《重医口腔医院净化空调维修保养评价细则》，低于合格分数（90分）1分扣500元维保费，80分以下视为不合格，采购人有权解除合同，并不承担任何责任。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5、维保期内，若发现更换的零配件以次充好，假冒伪劣，直接扣除当期费用（半年费用）的20%，且不予支付零配件费用，已支付的从应付维保款项中扣除。</w:t>
      </w:r>
    </w:p>
    <w:p>
      <w:pPr>
        <w:pStyle w:val="2"/>
        <w:numPr>
          <w:ilvl w:val="0"/>
          <w:numId w:val="2"/>
        </w:numPr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报价要求</w:t>
      </w:r>
      <w:bookmarkEnd w:id="2"/>
      <w:bookmarkEnd w:id="3"/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1.本次报价须为人民币报价，包含：检测费、运输费、保险费和税费以及有关其他所有费用。因成交供应商未勘察现场等自身原因造成漏报、少报皆由其自行承担责任，采购人不再补偿。</w:t>
      </w:r>
    </w:p>
    <w:p>
      <w:pPr>
        <w:widowControl/>
        <w:snapToGrid w:val="0"/>
        <w:spacing w:line="360" w:lineRule="auto"/>
        <w:ind w:right="105" w:rightChars="50" w:firstLine="480" w:firstLineChars="200"/>
        <w:jc w:val="left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2.以下过滤器需报价人提供单价</w:t>
      </w:r>
    </w:p>
    <w:tbl>
      <w:tblPr>
        <w:tblStyle w:val="14"/>
        <w:tblW w:w="96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1651"/>
        <w:gridCol w:w="1512"/>
        <w:gridCol w:w="688"/>
        <w:gridCol w:w="925"/>
        <w:gridCol w:w="1212"/>
        <w:gridCol w:w="1138"/>
        <w:gridCol w:w="2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</w:rPr>
              <w:t>手术室净化系统过滤器报价清单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板式初效过滤器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595*595*95mm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铝框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板式初效过滤器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595*290*95mm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铝框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袋式初效过滤器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592*592*534mm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铝框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袋式初效过滤器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592*287*534mm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铝框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484*484*220mm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镀锌框、大风量、金属隔板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601*305*292mm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镀锌框、大风量、金属隔板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亚高效过滤器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595*592*292mm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亚高效过滤器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290*592*292mm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</w:rPr>
              <w:t>18楼实验室高效过滤器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320*320*70mm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484*484*70mm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高效过滤器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630*630*70mm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上海照阔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b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镀锌框、大风量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bidi="ar"/>
              </w:rPr>
              <w:t>报价包括材料费、税费、安装费及运输费用等所有费用。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bookmarkStart w:id="4" w:name="_Toc44255846"/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五、费用结算</w:t>
      </w:r>
      <w:bookmarkEnd w:id="4"/>
    </w:p>
    <w:p>
      <w:pPr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bookmarkStart w:id="5" w:name="_Toc465087496"/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1.每6个月维保周期到期后十个工作日内，由报价人提交相关资料后，经采购人进行考核，根据考核结果报价人开具相应发票，采购人在收到发票后付款。</w:t>
      </w:r>
    </w:p>
    <w:p>
      <w:pPr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2.定期更换过滤器按照每次采购数量按实结算。</w:t>
      </w:r>
    </w:p>
    <w:p>
      <w:pPr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3.检测报告由具有资质的检测机构出具，如不合格由乙方免费整改。</w:t>
      </w:r>
    </w:p>
    <w:p>
      <w:pPr>
        <w:pStyle w:val="2"/>
        <w:ind w:firstLine="482" w:firstLineChars="200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>六、售后服务</w:t>
      </w:r>
      <w:bookmarkEnd w:id="5"/>
    </w:p>
    <w:p>
      <w:pPr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报价人应当为采购人提供技术援助电话，解答采购人在使用过程中遇到的问题，及时为采购人提出解决问题的建议。</w:t>
      </w:r>
    </w:p>
    <w:p>
      <w:pPr>
        <w:numPr>
          <w:ilvl w:val="0"/>
          <w:numId w:val="0"/>
        </w:numPr>
        <w:snapToGrid w:val="0"/>
        <w:spacing w:line="360" w:lineRule="auto"/>
        <w:ind w:firstLine="482" w:firstLineChars="200"/>
        <w:rPr>
          <w:rFonts w:hint="default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b/>
          <w:bCs/>
          <w:kern w:val="2"/>
          <w:sz w:val="24"/>
          <w:szCs w:val="24"/>
          <w:lang w:val="en-US" w:eastAsia="zh-CN" w:bidi="ar-SA"/>
        </w:rPr>
        <w:t>七、其他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1.合同期内，如因甲、乙单方面违约原因造成合同无法继续的，违约方应向另一方支付合同总价50%的违约赔偿金。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2.如遇以下情况，采购人有权单方面终止合同，同时不向中标方支付维保费用，已经支付的维保费用，报价人应当予以返还并且中标方应按合同总额的30%向采购人支付违约赔偿金，并赔偿招标人及第三方损失：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①报价人三次以上未按照合同的约定履行其义务；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②经采购人通知后，报价人不进行维保或整改的；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>③采购人认为在合同期内中标方明显不能继续胜任其工作；</w:t>
      </w:r>
    </w:p>
    <w:p>
      <w:pPr>
        <w:widowControl/>
        <w:numPr>
          <w:ilvl w:val="0"/>
          <w:numId w:val="0"/>
        </w:numPr>
        <w:snapToGrid w:val="0"/>
        <w:ind w:right="105" w:rightChars="50" w:firstLine="480" w:firstLineChars="200"/>
        <w:jc w:val="left"/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宋体" w:eastAsia="方正仿宋_GBK" w:cstheme="minorBidi"/>
          <w:kern w:val="2"/>
          <w:sz w:val="24"/>
          <w:szCs w:val="24"/>
          <w:lang w:val="en-US" w:eastAsia="zh-CN" w:bidi="ar-SA"/>
        </w:rPr>
        <w:t xml:space="preserve">④因报价人或报价人员工的原因给招标人或第三方造成重大损失的； </w:t>
      </w:r>
    </w:p>
    <w:p>
      <w:pPr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：重医口腔医院净化空调维修保养评价细则</w:t>
      </w:r>
    </w:p>
    <w:tbl>
      <w:tblPr>
        <w:tblStyle w:val="14"/>
        <w:tblW w:w="10524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490"/>
        <w:gridCol w:w="3139"/>
        <w:gridCol w:w="503"/>
        <w:gridCol w:w="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考  核  内  容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得分标准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标准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分数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考核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常规考核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一.维保合同主要条款执行情况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1.接到设备、设施紧急故障维修通知不得超过2小时。做好维修记录经双方签字保存。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迟到10分钟内一次扣1分，迟到30分钟以上扣3分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2.按照合同每月按时做好1次巡查保养，如实做好检查报告记录经双方签字保存，资料完整无缺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未按要求如实保养一次扣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分，资料不齐一次扣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3.具有检测资质的检测单位出具的维保净化效果是否合格达标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一个不合格扣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4.服从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采购人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管理部门的监督，定期书面汇报设备工作情况.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违反一次扣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5.年内免费为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采购人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培训操作人员两次，并有培训记录及参会人员签字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违反一次扣1分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6.配合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采购人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完成其他工作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服从院方相关管理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违反一次扣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具体技术类考核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二.具体设备状况评价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1.电机及风机运行情况良好、无异常噪声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2.控制系统、变频器风扇、仪表等元器件运行良好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一个不正常扣2分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3.加湿系统运行良好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4.净化机箱内、外清洁、无漏风变形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5.控制柜内、外清洁、散热风扇良好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6.水管系统、风管系统无泄漏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7.机房环境干净，整洁无杂物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8.新风机运行良好无噪声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9.电动感应门运行良好无异常噪声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10.内嵌设备及洗手池使用正常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11.循环水泵运行正常，无异常噪声，漏水情况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一个不正常扣1分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12.风冷热泵系统运行正常，压缩机、散热风扇、水流开关、板换、过滤器及各仪表运行良好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一个不正常扣2分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综合评价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注：1.考核分数为100分，分合格与不合格两种，90分（含）以上为合格；低于90分不合格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  2.每项分数扣完为止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考核人员：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5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_..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9226C"/>
    <w:multiLevelType w:val="singleLevel"/>
    <w:tmpl w:val="D85922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581331"/>
    <w:multiLevelType w:val="singleLevel"/>
    <w:tmpl w:val="5A581331"/>
    <w:lvl w:ilvl="0" w:tentative="0">
      <w:start w:val="3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58d79787-be5f-4010-825e-c8d9f4d89235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96901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38F2A8C"/>
    <w:rsid w:val="072A2867"/>
    <w:rsid w:val="0A5A726F"/>
    <w:rsid w:val="0D7F63FD"/>
    <w:rsid w:val="0D822BFB"/>
    <w:rsid w:val="0E6F8A1C"/>
    <w:rsid w:val="105765E1"/>
    <w:rsid w:val="11C0161D"/>
    <w:rsid w:val="15A56969"/>
    <w:rsid w:val="194F58BE"/>
    <w:rsid w:val="198C707D"/>
    <w:rsid w:val="1B300109"/>
    <w:rsid w:val="1BEE96B1"/>
    <w:rsid w:val="1D9EC07E"/>
    <w:rsid w:val="21B71AA3"/>
    <w:rsid w:val="23546E80"/>
    <w:rsid w:val="26C002C6"/>
    <w:rsid w:val="29876FEC"/>
    <w:rsid w:val="2BCE7756"/>
    <w:rsid w:val="2CCD64E8"/>
    <w:rsid w:val="2E066BA3"/>
    <w:rsid w:val="2F4F09B8"/>
    <w:rsid w:val="34CD4EDF"/>
    <w:rsid w:val="39FC665A"/>
    <w:rsid w:val="3A976388"/>
    <w:rsid w:val="3CFB1A50"/>
    <w:rsid w:val="462F230B"/>
    <w:rsid w:val="487F41E4"/>
    <w:rsid w:val="48A82070"/>
    <w:rsid w:val="49F40E5D"/>
    <w:rsid w:val="4E106A60"/>
    <w:rsid w:val="54EA0C30"/>
    <w:rsid w:val="5A2B4D03"/>
    <w:rsid w:val="5B1C6621"/>
    <w:rsid w:val="5C7F0CFE"/>
    <w:rsid w:val="5F684AA7"/>
    <w:rsid w:val="5FB37B80"/>
    <w:rsid w:val="64680E08"/>
    <w:rsid w:val="64C50CB4"/>
    <w:rsid w:val="64C5109D"/>
    <w:rsid w:val="65EE5B34"/>
    <w:rsid w:val="68943F72"/>
    <w:rsid w:val="68E10F7E"/>
    <w:rsid w:val="68E931E5"/>
    <w:rsid w:val="6CFD8A6E"/>
    <w:rsid w:val="710C1EC5"/>
    <w:rsid w:val="74A565C1"/>
    <w:rsid w:val="75F43A39"/>
    <w:rsid w:val="774C3804"/>
    <w:rsid w:val="77F734C0"/>
    <w:rsid w:val="78281D72"/>
    <w:rsid w:val="7AC14D05"/>
    <w:rsid w:val="7B761A97"/>
    <w:rsid w:val="7B762C67"/>
    <w:rsid w:val="7CC971B4"/>
    <w:rsid w:val="7CCE2B66"/>
    <w:rsid w:val="7CD15E2E"/>
    <w:rsid w:val="7FCFB4EA"/>
    <w:rsid w:val="AFF56D0C"/>
    <w:rsid w:val="BCFF762A"/>
    <w:rsid w:val="D7A2C432"/>
    <w:rsid w:val="EFED4381"/>
    <w:rsid w:val="F63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27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">
    <w:name w:val="引用1"/>
    <w:basedOn w:val="1"/>
    <w:next w:val="1"/>
    <w:qFormat/>
    <w:uiPriority w:val="99"/>
    <w:rPr>
      <w:rFonts w:ascii="Calibri" w:hAnsi="Calibri"/>
      <w:i/>
      <w:iCs/>
      <w:color w:val="000000"/>
      <w:kern w:val="0"/>
      <w:sz w:val="22"/>
      <w:szCs w:val="20"/>
    </w:rPr>
  </w:style>
  <w:style w:type="paragraph" w:styleId="9">
    <w:name w:val="Body Text Indent"/>
    <w:basedOn w:val="1"/>
    <w:link w:val="23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10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table" w:styleId="15">
    <w:name w:val="Table Grid"/>
    <w:basedOn w:val="1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_..." w:hAnsi="Times New Roman" w:eastAsia="宋体_..." w:cs="宋体_..."/>
      <w:color w:val="000000"/>
      <w:sz w:val="24"/>
      <w:szCs w:val="24"/>
      <w:lang w:val="en-US" w:eastAsia="en-US" w:bidi="en-US"/>
    </w:rPr>
  </w:style>
  <w:style w:type="character" w:customStyle="1" w:styleId="20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正文文本缩进 Char"/>
    <w:basedOn w:val="16"/>
    <w:link w:val="9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3">
    <w:name w:val="正文文本缩进 Char1"/>
    <w:basedOn w:val="16"/>
    <w:link w:val="9"/>
    <w:semiHidden/>
    <w:qFormat/>
    <w:uiPriority w:val="99"/>
  </w:style>
  <w:style w:type="character" w:customStyle="1" w:styleId="24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6">
    <w:name w:val="纯文本 Char"/>
    <w:basedOn w:val="16"/>
    <w:link w:val="10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Char"/>
    <w:basedOn w:val="16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8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3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31">
    <w:name w:val="fontstyle01"/>
    <w:basedOn w:val="16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2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3">
    <w:name w:val="font6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7</Pages>
  <Words>3709</Words>
  <Characters>4018</Characters>
  <Lines>7</Lines>
  <Paragraphs>2</Paragraphs>
  <TotalTime>20</TotalTime>
  <ScaleCrop>false</ScaleCrop>
  <LinksUpToDate>false</LinksUpToDate>
  <CharactersWithSpaces>4082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2022-04-21T09:48:00Z</dcterms:created>
  <dc:creator>USER-</dc:creator>
  <cp:lastModifiedBy>小陈Clam</cp:lastModifiedBy>
  <dcterms:modified xsi:type="dcterms:W3CDTF">2024-02-23T02:05:25Z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A2E2736D038045A2BACAC85FB4EAACE2_13</vt:lpwstr>
  </property>
</Properties>
</file>