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Toc19113857"/>
      <w:bookmarkStart w:id="1" w:name="_Toc75252313"/>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9</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14</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9</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20</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袁</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88860177、周老师</w:t>
      </w:r>
      <w:r>
        <w:rPr>
          <w:rFonts w:hint="eastAsia" w:cs="Tahoma" w:asciiTheme="minorEastAsia" w:hAnsiTheme="minorEastAsia"/>
          <w:b/>
          <w:color w:val="333333"/>
          <w:sz w:val="28"/>
          <w:szCs w:val="28"/>
          <w:highlight w:val="none"/>
          <w:shd w:val="clear" w:color="auto" w:fill="FFFFFF"/>
        </w:rPr>
        <w:t>023-</w:t>
      </w:r>
      <w:r>
        <w:rPr>
          <w:rFonts w:hint="eastAsia" w:cs="Tahoma" w:asciiTheme="minorEastAsia" w:hAnsiTheme="minorEastAsia"/>
          <w:b/>
          <w:color w:val="333333"/>
          <w:sz w:val="28"/>
          <w:szCs w:val="28"/>
          <w:highlight w:val="none"/>
          <w:shd w:val="clear" w:color="auto" w:fill="FFFFFF"/>
          <w:lang w:val="en-US" w:eastAsia="zh-CN"/>
        </w:rPr>
        <w:t>88860055</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医师技术档案管理系统</w:t>
      </w:r>
      <w:r>
        <w:rPr>
          <w:rFonts w:hint="eastAsia" w:ascii="Calibri" w:hAnsi="Calibri" w:eastAsia="宋体" w:cs="Times New Roman"/>
          <w:b/>
          <w:color w:val="000000"/>
          <w:sz w:val="28"/>
          <w:szCs w:val="28"/>
        </w:rPr>
        <w:t>采购项目</w:t>
      </w:r>
    </w:p>
    <w:tbl>
      <w:tblPr>
        <w:tblStyle w:val="14"/>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8"/>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报价品牌：         型号：           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元（总价），质保期        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558" w:type="dxa"/>
            <w:vAlign w:val="center"/>
          </w:tcPr>
          <w:p>
            <w:pPr>
              <w:tabs>
                <w:tab w:val="left" w:pos="6300"/>
              </w:tabs>
              <w:snapToGrid w:val="0"/>
              <w:jc w:val="center"/>
              <w:rPr>
                <w:rFonts w:hint="eastAsia" w:ascii="宋体" w:hAnsi="宋体" w:eastAsia="宋体" w:cs="宋体"/>
                <w:sz w:val="24"/>
                <w:szCs w:val="24"/>
                <w:lang w:eastAsia="zh-CN"/>
              </w:rPr>
            </w:pPr>
            <w:r>
              <w:rPr>
                <w:rFonts w:hint="eastAsia" w:hAnsi="宋体" w:cs="宋体"/>
                <w:sz w:val="24"/>
                <w:szCs w:val="24"/>
                <w:lang w:eastAsia="zh-CN"/>
              </w:rPr>
              <w:t>采购需求</w:t>
            </w:r>
          </w:p>
        </w:tc>
        <w:tc>
          <w:tcPr>
            <w:tcW w:w="2327" w:type="dxa"/>
            <w:vAlign w:val="center"/>
          </w:tcPr>
          <w:p>
            <w:pPr>
              <w:tabs>
                <w:tab w:val="left" w:pos="6300"/>
              </w:tabs>
              <w:snapToGrid w:val="0"/>
              <w:jc w:val="center"/>
              <w:rPr>
                <w:rFonts w:hint="eastAsia" w:hAnsi="宋体" w:cs="宋体"/>
                <w:sz w:val="24"/>
                <w:szCs w:val="24"/>
                <w:lang w:eastAsia="zh-CN"/>
              </w:rPr>
            </w:pPr>
            <w:r>
              <w:rPr>
                <w:rFonts w:hint="eastAsia" w:hAnsi="宋体" w:cs="宋体"/>
                <w:sz w:val="24"/>
                <w:szCs w:val="24"/>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558" w:type="dxa"/>
            <w:vAlign w:val="center"/>
          </w:tcPr>
          <w:p>
            <w:pPr>
              <w:tabs>
                <w:tab w:val="left" w:pos="6300"/>
              </w:tabs>
              <w:snapToGrid w:val="0"/>
              <w:jc w:val="left"/>
              <w:rPr>
                <w:rFonts w:hint="eastAsia" w:hAnsi="宋体" w:cs="宋体"/>
                <w:sz w:val="24"/>
                <w:szCs w:val="24"/>
                <w:lang w:eastAsia="zh-CN"/>
              </w:rPr>
            </w:pPr>
            <w:r>
              <w:rPr>
                <w:rFonts w:hint="eastAsia" w:hAnsi="宋体" w:cs="宋体"/>
                <w:sz w:val="24"/>
                <w:szCs w:val="24"/>
                <w:lang w:eastAsia="zh-CN"/>
              </w:rPr>
              <w:t>附后</w:t>
            </w:r>
          </w:p>
        </w:tc>
        <w:tc>
          <w:tcPr>
            <w:tcW w:w="2327" w:type="dxa"/>
            <w:vAlign w:val="center"/>
          </w:tcPr>
          <w:p>
            <w:pPr>
              <w:tabs>
                <w:tab w:val="left" w:pos="6300"/>
              </w:tabs>
              <w:snapToGrid w:val="0"/>
              <w:jc w:val="left"/>
              <w:rPr>
                <w:rFonts w:hint="eastAsia" w:hAnsi="宋体" w:cs="宋体"/>
                <w:sz w:val="24"/>
                <w:szCs w:val="24"/>
                <w:lang w:eastAsia="zh-CN"/>
              </w:rPr>
            </w:pPr>
          </w:p>
        </w:tc>
      </w:tr>
    </w:tbl>
    <w:p>
      <w:pPr>
        <w:jc w:val="left"/>
        <w:rPr>
          <w:b/>
          <w:color w:val="FF0000"/>
          <w:sz w:val="28"/>
          <w:szCs w:val="28"/>
        </w:rPr>
      </w:pPr>
    </w:p>
    <w:p>
      <w:pPr>
        <w:rPr>
          <w:rFonts w:hint="eastAsia" w:ascii="宋体" w:hAnsi="宋体" w:eastAsia="宋体" w:cs="宋体"/>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bookmarkEnd w:id="0"/>
    <w:bookmarkEnd w:id="1"/>
    <w:p>
      <w:pPr>
        <w:rPr>
          <w:rFonts w:hAnsi="宋体" w:cs="方正仿宋_GBK"/>
          <w:sz w:val="24"/>
          <w:szCs w:val="24"/>
        </w:rPr>
      </w:pPr>
      <w:r>
        <w:rPr>
          <w:rFonts w:hAnsi="宋体" w:cs="方正仿宋_GBK"/>
          <w:sz w:val="24"/>
          <w:szCs w:val="24"/>
        </w:rPr>
        <w:br w:type="page"/>
      </w:r>
    </w:p>
    <w:p>
      <w:pPr>
        <w:pStyle w:val="4"/>
        <w:rPr>
          <w:rFonts w:hint="eastAsia" w:eastAsia="宋体"/>
          <w:lang w:eastAsia="zh-CN"/>
        </w:rPr>
      </w:pPr>
      <w:r>
        <w:rPr>
          <w:rFonts w:hint="eastAsia" w:eastAsia="宋体"/>
          <w:lang w:eastAsia="zh-CN"/>
        </w:rPr>
        <w:t>附件</w:t>
      </w:r>
    </w:p>
    <w:p>
      <w:pPr>
        <w:pStyle w:val="3"/>
        <w:spacing w:line="360" w:lineRule="auto"/>
        <w:rPr>
          <w:rFonts w:ascii="宋体" w:hAnsi="宋体" w:eastAsia="宋体" w:cs="宋体"/>
        </w:rPr>
      </w:pPr>
      <w:r>
        <w:rPr>
          <w:rFonts w:hint="eastAsia" w:ascii="宋体" w:hAnsi="宋体" w:eastAsia="宋体" w:cs="宋体"/>
        </w:rPr>
        <w:t>第</w:t>
      </w:r>
      <w:r>
        <w:rPr>
          <w:rFonts w:hint="eastAsia" w:ascii="宋体" w:hAnsi="宋体" w:eastAsia="宋体" w:cs="宋体"/>
          <w:lang w:eastAsia="zh-CN"/>
        </w:rPr>
        <w:t>一</w:t>
      </w:r>
      <w:r>
        <w:rPr>
          <w:rFonts w:hint="eastAsia" w:ascii="宋体" w:hAnsi="宋体" w:eastAsia="宋体" w:cs="宋体"/>
        </w:rPr>
        <w:t>篇 项目技术要求</w:t>
      </w:r>
    </w:p>
    <w:p>
      <w:pPr>
        <w:pStyle w:val="4"/>
      </w:pPr>
      <w:bookmarkStart w:id="2" w:name="_Toc75252314"/>
      <w:r>
        <w:rPr>
          <w:rFonts w:hint="eastAsia"/>
        </w:rPr>
        <w:t>一、招标项目一览表</w:t>
      </w:r>
      <w:bookmarkEnd w:id="2"/>
    </w:p>
    <w:tbl>
      <w:tblPr>
        <w:tblStyle w:val="14"/>
        <w:tblW w:w="0" w:type="auto"/>
        <w:jc w:val="center"/>
        <w:tblLayout w:type="fixed"/>
        <w:tblCellMar>
          <w:top w:w="15" w:type="dxa"/>
          <w:left w:w="15" w:type="dxa"/>
          <w:bottom w:w="15" w:type="dxa"/>
          <w:right w:w="15" w:type="dxa"/>
        </w:tblCellMar>
      </w:tblPr>
      <w:tblGrid>
        <w:gridCol w:w="626"/>
        <w:gridCol w:w="2488"/>
        <w:gridCol w:w="1417"/>
        <w:gridCol w:w="851"/>
        <w:gridCol w:w="2268"/>
      </w:tblGrid>
      <w:tr>
        <w:tblPrEx>
          <w:tblCellMar>
            <w:top w:w="15" w:type="dxa"/>
            <w:left w:w="15" w:type="dxa"/>
            <w:bottom w:w="15" w:type="dxa"/>
            <w:right w:w="15" w:type="dxa"/>
          </w:tblCellMar>
        </w:tblPrEx>
        <w:trPr>
          <w:trHeight w:val="283"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sz w:val="22"/>
              </w:rPr>
            </w:pPr>
            <w:bookmarkStart w:id="3" w:name="_Toc505608532"/>
            <w:bookmarkStart w:id="4" w:name="_Toc267320051"/>
            <w:bookmarkStart w:id="5" w:name="_Toc75252320"/>
            <w:r>
              <w:rPr>
                <w:rFonts w:hint="eastAsia" w:ascii="宋体" w:hAnsi="宋体" w:cs="宋体"/>
                <w:kern w:val="0"/>
                <w:sz w:val="22"/>
              </w:rPr>
              <w:t>序号</w:t>
            </w:r>
          </w:p>
        </w:tc>
        <w:tc>
          <w:tcPr>
            <w:tcW w:w="24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sz w:val="22"/>
              </w:rPr>
            </w:pPr>
            <w:r>
              <w:rPr>
                <w:rFonts w:hint="eastAsia" w:ascii="宋体" w:hAnsi="宋体" w:cs="宋体"/>
                <w:kern w:val="0"/>
                <w:sz w:val="22"/>
              </w:rPr>
              <w:t>设备名称</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kern w:val="0"/>
                <w:sz w:val="22"/>
              </w:rPr>
            </w:pPr>
            <w:r>
              <w:rPr>
                <w:rFonts w:hint="eastAsia" w:ascii="宋体" w:hAnsi="宋体" w:cs="宋体"/>
                <w:kern w:val="0"/>
                <w:sz w:val="22"/>
              </w:rPr>
              <w:t>单位</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sz w:val="22"/>
              </w:rPr>
            </w:pPr>
            <w:r>
              <w:rPr>
                <w:rFonts w:hint="eastAsia" w:ascii="宋体" w:hAnsi="宋体" w:cs="宋体"/>
                <w:kern w:val="0"/>
                <w:sz w:val="22"/>
              </w:rPr>
              <w:t>数量</w:t>
            </w: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auto"/>
              <w:jc w:val="center"/>
              <w:textAlignment w:val="center"/>
              <w:rPr>
                <w:rFonts w:ascii="宋体" w:hAnsi="宋体" w:cs="宋体"/>
                <w:kern w:val="0"/>
                <w:sz w:val="22"/>
              </w:rPr>
            </w:pPr>
            <w:r>
              <w:rPr>
                <w:rFonts w:hint="eastAsia" w:ascii="宋体" w:hAnsi="宋体" w:cs="宋体"/>
                <w:kern w:val="0"/>
                <w:sz w:val="22"/>
              </w:rPr>
              <w:t>备注</w:t>
            </w:r>
          </w:p>
        </w:tc>
      </w:tr>
      <w:tr>
        <w:tblPrEx>
          <w:tblCellMar>
            <w:top w:w="15" w:type="dxa"/>
            <w:left w:w="15" w:type="dxa"/>
            <w:bottom w:w="15" w:type="dxa"/>
            <w:right w:w="15" w:type="dxa"/>
          </w:tblCellMar>
        </w:tblPrEx>
        <w:trPr>
          <w:trHeight w:val="283"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sz w:val="22"/>
              </w:rPr>
            </w:pPr>
            <w:r>
              <w:rPr>
                <w:rFonts w:hint="eastAsia" w:ascii="宋体" w:hAnsi="宋体" w:cs="宋体"/>
                <w:kern w:val="0"/>
                <w:sz w:val="22"/>
              </w:rPr>
              <w:t>1</w:t>
            </w:r>
          </w:p>
        </w:tc>
        <w:tc>
          <w:tcPr>
            <w:tcW w:w="24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sz w:val="22"/>
              </w:rPr>
            </w:pPr>
            <w:r>
              <w:rPr>
                <w:rFonts w:hint="eastAsia" w:ascii="宋体" w:hAnsi="宋体" w:cs="宋体"/>
                <w:sz w:val="24"/>
                <w:szCs w:val="24"/>
              </w:rPr>
              <w:t>医师技术档案管理系统</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kern w:val="0"/>
                <w:sz w:val="22"/>
              </w:rPr>
            </w:pPr>
            <w:r>
              <w:rPr>
                <w:rFonts w:hint="eastAsia" w:ascii="宋体" w:hAnsi="宋体" w:cs="宋体"/>
                <w:kern w:val="0"/>
                <w:sz w:val="22"/>
              </w:rPr>
              <w:t>套</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sz w:val="22"/>
              </w:rPr>
            </w:pPr>
            <w:r>
              <w:rPr>
                <w:rFonts w:hint="eastAsia" w:ascii="宋体" w:hAnsi="宋体" w:cs="宋体"/>
                <w:kern w:val="0"/>
                <w:sz w:val="22"/>
              </w:rPr>
              <w:t>1</w:t>
            </w: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auto"/>
              <w:jc w:val="center"/>
              <w:textAlignment w:val="center"/>
              <w:rPr>
                <w:rFonts w:ascii="宋体" w:hAnsi="宋体" w:cs="宋体"/>
                <w:kern w:val="0"/>
                <w:sz w:val="22"/>
              </w:rPr>
            </w:pPr>
          </w:p>
        </w:tc>
      </w:tr>
    </w:tbl>
    <w:p>
      <w:pPr>
        <w:rPr>
          <w:rFonts w:ascii="宋体" w:hAnsi="宋体" w:cs="宋体"/>
        </w:rPr>
      </w:pPr>
    </w:p>
    <w:p>
      <w:pPr>
        <w:pStyle w:val="4"/>
        <w:rPr>
          <w:rFonts w:cs="宋体"/>
          <w:b/>
          <w:sz w:val="24"/>
        </w:rPr>
      </w:pPr>
      <w:r>
        <w:rPr>
          <w:rFonts w:hint="eastAsia" w:cs="宋体"/>
          <w:b/>
          <w:sz w:val="24"/>
          <w:lang w:eastAsia="zh-CN"/>
        </w:rPr>
        <w:t>二</w:t>
      </w:r>
      <w:r>
        <w:rPr>
          <w:rFonts w:hint="eastAsia" w:cs="宋体"/>
          <w:b/>
          <w:sz w:val="24"/>
        </w:rPr>
        <w:t>、技术参数要求</w:t>
      </w:r>
    </w:p>
    <w:p>
      <w:pPr>
        <w:spacing w:line="360" w:lineRule="auto"/>
        <w:rPr>
          <w:rFonts w:ascii="宋体" w:hAnsi="宋体" w:cs="宋体"/>
          <w:b/>
          <w:bCs/>
          <w:sz w:val="24"/>
          <w:szCs w:val="24"/>
        </w:rPr>
      </w:pPr>
      <w:r>
        <w:rPr>
          <w:rFonts w:hint="eastAsia" w:ascii="宋体" w:hAnsi="宋体" w:cs="宋体"/>
          <w:b/>
          <w:bCs/>
          <w:sz w:val="24"/>
          <w:szCs w:val="24"/>
        </w:rPr>
        <w:t>(一)系统总体要求：</w:t>
      </w:r>
    </w:p>
    <w:p>
      <w:pPr>
        <w:pStyle w:val="2"/>
        <w:ind w:firstLine="480"/>
        <w:rPr>
          <w:rFonts w:ascii="宋体" w:hAnsi="宋体"/>
          <w:kern w:val="0"/>
          <w:sz w:val="24"/>
        </w:rPr>
      </w:pPr>
      <w:r>
        <w:rPr>
          <w:rFonts w:hint="eastAsia" w:ascii="宋体" w:hAnsi="宋体"/>
          <w:kern w:val="0"/>
          <w:sz w:val="24"/>
        </w:rPr>
        <w:t>以技术开展为基础，为我院全体医师建立起专业的人员技术档案管理体系，在档案中完整体现医师技术开展相关动态信息，这些信息包括但不限于基本信息、医师技术开展情况的动态管理、医疗授权全过程管理、医德医风考评结果、新技术新项目全过程管理、医师技术考核、技术相关培训和比赛成果、技术相关科研成果，并基于医师个人档案、技术开展情况、技术提升过程为基础的各类分析以及全过程记录。</w:t>
      </w:r>
    </w:p>
    <w:p>
      <w:pPr>
        <w:pStyle w:val="2"/>
        <w:ind w:firstLine="480"/>
        <w:rPr>
          <w:rFonts w:ascii="宋体" w:hAnsi="宋体"/>
          <w:kern w:val="0"/>
          <w:sz w:val="24"/>
        </w:rPr>
      </w:pPr>
      <w:r>
        <w:rPr>
          <w:rFonts w:hint="eastAsia" w:ascii="宋体" w:hAnsi="宋体"/>
          <w:kern w:val="0"/>
          <w:sz w:val="24"/>
        </w:rPr>
        <w:t>医师技术档案通过接口入程序与H</w:t>
      </w:r>
      <w:r>
        <w:rPr>
          <w:rFonts w:ascii="宋体" w:hAnsi="宋体"/>
          <w:kern w:val="0"/>
          <w:sz w:val="24"/>
        </w:rPr>
        <w:t>IS\EMR</w:t>
      </w:r>
      <w:r>
        <w:rPr>
          <w:rFonts w:hint="eastAsia" w:ascii="宋体" w:hAnsi="宋体"/>
          <w:kern w:val="0"/>
          <w:sz w:val="24"/>
        </w:rPr>
        <w:t>等</w:t>
      </w:r>
      <w:r>
        <w:rPr>
          <w:rFonts w:hint="eastAsia" w:ascii="宋体" w:hAnsi="宋体"/>
          <w:kern w:val="0"/>
          <w:sz w:val="24"/>
          <w:lang w:val="en-US" w:eastAsia="zh-CN"/>
        </w:rPr>
        <w:t>院方现有业务</w:t>
      </w:r>
      <w:r>
        <w:rPr>
          <w:rFonts w:hint="eastAsia" w:ascii="宋体" w:hAnsi="宋体"/>
          <w:kern w:val="0"/>
          <w:sz w:val="24"/>
        </w:rPr>
        <w:t>系统实现医师评价指标数据采集、医疗授权结果回现等集成应用，避免出现新的信息孤岛。</w:t>
      </w:r>
    </w:p>
    <w:p>
      <w:pPr>
        <w:numPr>
          <w:ilvl w:val="0"/>
          <w:numId w:val="2"/>
        </w:numPr>
        <w:spacing w:line="360" w:lineRule="auto"/>
        <w:rPr>
          <w:rFonts w:hint="eastAsia" w:ascii="宋体" w:hAnsi="宋体" w:cs="宋体"/>
          <w:b/>
          <w:bCs/>
          <w:sz w:val="24"/>
          <w:szCs w:val="24"/>
        </w:rPr>
      </w:pPr>
      <w:r>
        <w:rPr>
          <w:rFonts w:hint="eastAsia" w:ascii="宋体" w:hAnsi="宋体" w:cs="宋体"/>
          <w:b/>
          <w:bCs/>
          <w:sz w:val="24"/>
          <w:szCs w:val="24"/>
        </w:rPr>
        <w:t>系统功能参数要求：</w:t>
      </w:r>
    </w:p>
    <w:tbl>
      <w:tblPr>
        <w:tblStyle w:val="14"/>
        <w:tblW w:w="5478" w:type="pct"/>
        <w:tblInd w:w="0" w:type="dxa"/>
        <w:tblLayout w:type="autofit"/>
        <w:tblCellMar>
          <w:top w:w="0" w:type="dxa"/>
          <w:left w:w="108" w:type="dxa"/>
          <w:bottom w:w="0" w:type="dxa"/>
          <w:right w:w="108" w:type="dxa"/>
        </w:tblCellMar>
      </w:tblPr>
      <w:tblGrid>
        <w:gridCol w:w="831"/>
        <w:gridCol w:w="3442"/>
        <w:gridCol w:w="5064"/>
      </w:tblGrid>
      <w:tr>
        <w:tblPrEx>
          <w:tblCellMar>
            <w:top w:w="0" w:type="dxa"/>
            <w:left w:w="108" w:type="dxa"/>
            <w:bottom w:w="0" w:type="dxa"/>
            <w:right w:w="108" w:type="dxa"/>
          </w:tblCellMar>
        </w:tblPrEx>
        <w:trPr>
          <w:trHeight w:val="324" w:hRule="atLeast"/>
        </w:trPr>
        <w:tc>
          <w:tcPr>
            <w:tcW w:w="4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b/>
                <w:bCs/>
                <w:color w:val="000000"/>
                <w:kern w:val="0"/>
                <w:sz w:val="24"/>
              </w:rPr>
            </w:pPr>
            <w:r>
              <w:rPr>
                <w:rFonts w:hint="eastAsia" w:ascii="宋体" w:hAnsi="宋体"/>
                <w:b/>
                <w:bCs/>
                <w:color w:val="000000"/>
                <w:kern w:val="0"/>
                <w:sz w:val="24"/>
              </w:rPr>
              <w:t>序号</w:t>
            </w:r>
          </w:p>
        </w:tc>
        <w:tc>
          <w:tcPr>
            <w:tcW w:w="1843"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b/>
                <w:bCs/>
                <w:color w:val="000000"/>
                <w:kern w:val="0"/>
                <w:sz w:val="24"/>
              </w:rPr>
            </w:pPr>
            <w:r>
              <w:rPr>
                <w:rFonts w:hint="eastAsia" w:ascii="宋体" w:hAnsi="宋体"/>
                <w:b/>
                <w:bCs/>
                <w:color w:val="000000"/>
                <w:kern w:val="0"/>
                <w:sz w:val="24"/>
              </w:rPr>
              <w:t>模块名称</w:t>
            </w:r>
          </w:p>
        </w:tc>
        <w:tc>
          <w:tcPr>
            <w:tcW w:w="271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b/>
                <w:bCs/>
                <w:color w:val="000000"/>
                <w:kern w:val="0"/>
                <w:sz w:val="24"/>
              </w:rPr>
            </w:pPr>
            <w:r>
              <w:rPr>
                <w:rFonts w:hint="eastAsia" w:ascii="宋体" w:hAnsi="宋体"/>
                <w:b/>
                <w:bCs/>
                <w:color w:val="000000"/>
                <w:kern w:val="0"/>
                <w:sz w:val="24"/>
              </w:rPr>
              <w:t>功能要求</w:t>
            </w:r>
          </w:p>
        </w:tc>
      </w:tr>
      <w:tr>
        <w:tblPrEx>
          <w:tblCellMar>
            <w:top w:w="0" w:type="dxa"/>
            <w:left w:w="108" w:type="dxa"/>
            <w:bottom w:w="0" w:type="dxa"/>
            <w:right w:w="108" w:type="dxa"/>
          </w:tblCellMar>
        </w:tblPrEx>
        <w:trPr>
          <w:trHeight w:val="324" w:hRule="atLeast"/>
        </w:trPr>
        <w:tc>
          <w:tcPr>
            <w:tcW w:w="5000"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b/>
                <w:bCs/>
                <w:color w:val="000000"/>
                <w:kern w:val="0"/>
                <w:sz w:val="24"/>
              </w:rPr>
            </w:pPr>
            <w:r>
              <w:rPr>
                <w:rFonts w:hint="eastAsia" w:ascii="宋体" w:hAnsi="宋体"/>
                <w:b/>
                <w:bCs/>
                <w:color w:val="000000"/>
                <w:kern w:val="0"/>
                <w:sz w:val="24"/>
              </w:rPr>
              <w:t>(一)系统门户</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b/>
                <w:bCs/>
                <w:color w:val="000000"/>
                <w:kern w:val="0"/>
                <w:sz w:val="24"/>
              </w:rPr>
            </w:pPr>
            <w:r>
              <w:rPr>
                <w:rFonts w:hint="eastAsia" w:ascii="宋体" w:hAnsi="宋体"/>
                <w:b/>
                <w:bCs/>
                <w:color w:val="000000"/>
                <w:kern w:val="0"/>
                <w:sz w:val="24"/>
              </w:rPr>
              <w:t>1</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lang w:eastAsia="zh-Hans"/>
              </w:rPr>
              <w:t>医务门户</w:t>
            </w:r>
          </w:p>
        </w:tc>
        <w:tc>
          <w:tcPr>
            <w:tcW w:w="2711" w:type="pct"/>
            <w:tcBorders>
              <w:top w:val="nil"/>
              <w:left w:val="nil"/>
              <w:bottom w:val="nil"/>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1)医务管理部门工作人员可查看职责相关的KPI；</w:t>
            </w:r>
          </w:p>
        </w:tc>
      </w:tr>
      <w:tr>
        <w:tblPrEx>
          <w:tblCellMar>
            <w:top w:w="0" w:type="dxa"/>
            <w:left w:w="108" w:type="dxa"/>
            <w:bottom w:w="0" w:type="dxa"/>
            <w:right w:w="108" w:type="dxa"/>
          </w:tblCellMar>
        </w:tblPrEx>
        <w:trPr>
          <w:trHeight w:val="90"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2)可查看待处理工作任务、被授权的主要系统功能；</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3)可查看相关公告；</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4)可快捷调用系统主要的功能模块；</w:t>
            </w:r>
          </w:p>
        </w:tc>
      </w:tr>
      <w:tr>
        <w:tblPrEx>
          <w:tblCellMar>
            <w:top w:w="0" w:type="dxa"/>
            <w:left w:w="108" w:type="dxa"/>
            <w:bottom w:w="0" w:type="dxa"/>
            <w:right w:w="108" w:type="dxa"/>
          </w:tblCellMar>
        </w:tblPrEx>
        <w:trPr>
          <w:trHeight w:val="624"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b/>
                <w:bCs/>
                <w:color w:val="000000"/>
                <w:kern w:val="0"/>
                <w:sz w:val="24"/>
              </w:rPr>
            </w:pPr>
            <w:r>
              <w:rPr>
                <w:rFonts w:hint="eastAsia" w:ascii="宋体" w:hAnsi="宋体"/>
                <w:b/>
                <w:bCs/>
                <w:color w:val="000000"/>
                <w:kern w:val="0"/>
                <w:sz w:val="24"/>
              </w:rPr>
              <w:t>2</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lang w:eastAsia="zh-Hans"/>
              </w:rPr>
              <w:t>医师主页</w:t>
            </w:r>
          </w:p>
        </w:tc>
        <w:tc>
          <w:tcPr>
            <w:tcW w:w="2711" w:type="pct"/>
            <w:tcBorders>
              <w:top w:val="nil"/>
              <w:left w:val="nil"/>
              <w:bottom w:val="nil"/>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1)</w:t>
            </w:r>
            <w:r>
              <w:rPr>
                <w:kern w:val="0"/>
                <w:sz w:val="14"/>
                <w:szCs w:val="14"/>
              </w:rPr>
              <w:t> </w:t>
            </w:r>
            <w:r>
              <w:rPr>
                <w:rFonts w:hint="eastAsia" w:ascii="宋体" w:hAnsi="宋体" w:cs="宋体"/>
                <w:b/>
                <w:kern w:val="0"/>
                <w:sz w:val="24"/>
                <w:lang w:eastAsia="zh-CN"/>
              </w:rPr>
              <w:t xml:space="preserve"> </w:t>
            </w:r>
            <w:r>
              <w:rPr>
                <w:rFonts w:hint="eastAsia" w:ascii="宋体" w:hAnsi="宋体"/>
                <w:kern w:val="0"/>
                <w:sz w:val="24"/>
              </w:rPr>
              <w:t>完成医师各项业务申请（如技术权限、新技术新项目等）、数据填报等操作；</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2)查看待处理任务；</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3)可接收最新公告；</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b/>
                <w:bCs/>
                <w:color w:val="000000"/>
                <w:kern w:val="0"/>
                <w:sz w:val="24"/>
              </w:rPr>
            </w:pPr>
            <w:r>
              <w:rPr>
                <w:rFonts w:hint="eastAsia" w:ascii="宋体" w:hAnsi="宋体"/>
                <w:color w:val="000000"/>
                <w:kern w:val="0"/>
                <w:sz w:val="24"/>
              </w:rPr>
              <w:t>4)实时查看医师个人相关的考核指标数据；</w:t>
            </w:r>
          </w:p>
        </w:tc>
      </w:tr>
      <w:tr>
        <w:tblPrEx>
          <w:tblCellMar>
            <w:top w:w="0" w:type="dxa"/>
            <w:left w:w="108" w:type="dxa"/>
            <w:bottom w:w="0" w:type="dxa"/>
            <w:right w:w="108" w:type="dxa"/>
          </w:tblCellMar>
        </w:tblPrEx>
        <w:trPr>
          <w:trHeight w:val="90" w:hRule="atLeast"/>
        </w:trPr>
        <w:tc>
          <w:tcPr>
            <w:tcW w:w="445" w:type="pct"/>
            <w:tcBorders>
              <w:top w:val="nil"/>
              <w:left w:val="single" w:color="auto" w:sz="8" w:space="0"/>
              <w:bottom w:val="single" w:color="000000" w:sz="8" w:space="0"/>
              <w:right w:val="single" w:color="auto" w:sz="8" w:space="0"/>
            </w:tcBorders>
            <w:vAlign w:val="center"/>
          </w:tcPr>
          <w:p>
            <w:pPr>
              <w:widowControl/>
              <w:jc w:val="left"/>
              <w:rPr>
                <w:rFonts w:hint="default" w:ascii="宋体" w:hAnsi="宋体" w:eastAsia="宋体"/>
                <w:b/>
                <w:bCs/>
                <w:color w:val="000000"/>
                <w:kern w:val="0"/>
                <w:sz w:val="24"/>
                <w:lang w:val="en-US" w:eastAsia="zh-CN"/>
              </w:rPr>
            </w:pPr>
            <w:r>
              <w:rPr>
                <w:rFonts w:hint="eastAsia" w:ascii="宋体" w:hAnsi="宋体"/>
                <w:b/>
                <w:bCs/>
                <w:color w:val="000000"/>
                <w:kern w:val="0"/>
                <w:sz w:val="24"/>
                <w:lang w:val="en-US" w:eastAsia="zh-CN"/>
              </w:rPr>
              <w:t xml:space="preserve">  3</w:t>
            </w:r>
          </w:p>
        </w:tc>
        <w:tc>
          <w:tcPr>
            <w:tcW w:w="1843" w:type="pct"/>
            <w:tcBorders>
              <w:top w:val="nil"/>
              <w:left w:val="single" w:color="auto" w:sz="8" w:space="0"/>
              <w:bottom w:val="single" w:color="000000" w:sz="8" w:space="0"/>
              <w:right w:val="single" w:color="auto" w:sz="8" w:space="0"/>
            </w:tcBorders>
            <w:vAlign w:val="center"/>
          </w:tcPr>
          <w:p>
            <w:pPr>
              <w:widowControl/>
              <w:jc w:val="center"/>
              <w:rPr>
                <w:rFonts w:ascii="宋体" w:hAnsi="宋体"/>
                <w:color w:val="000000"/>
                <w:kern w:val="0"/>
                <w:sz w:val="24"/>
              </w:rPr>
            </w:pPr>
            <w:r>
              <w:rPr>
                <w:rFonts w:hint="eastAsia" w:eastAsia="宋体" w:cs="Times New Roman" w:asciiTheme="minorEastAsia" w:hAnsiTheme="minorEastAsia"/>
                <w:sz w:val="24"/>
                <w:szCs w:val="24"/>
                <w:lang w:val="en-US" w:eastAsia="zh-CN" w:bidi="ar-SA"/>
              </w:rPr>
              <w:t>信息发布</w:t>
            </w:r>
          </w:p>
        </w:tc>
        <w:tc>
          <w:tcPr>
            <w:tcW w:w="2711" w:type="pct"/>
            <w:tcBorders>
              <w:top w:val="nil"/>
              <w:left w:val="nil"/>
              <w:bottom w:val="single" w:color="auto" w:sz="8" w:space="0"/>
              <w:right w:val="single" w:color="auto" w:sz="8" w:space="0"/>
            </w:tcBorders>
            <w:shd w:val="clear" w:color="auto" w:fill="auto"/>
            <w:vAlign w:val="center"/>
          </w:tcPr>
          <w:p>
            <w:pPr>
              <w:widowControl/>
              <w:rPr>
                <w:rFonts w:hint="eastAsia" w:ascii="宋体" w:hAnsi="宋体"/>
                <w:kern w:val="0"/>
                <w:sz w:val="24"/>
                <w:lang w:val="en-US" w:eastAsia="zh-CN"/>
              </w:rPr>
            </w:pPr>
            <w:r>
              <w:rPr>
                <w:rFonts w:hint="eastAsia" w:ascii="宋体" w:hAnsi="宋体"/>
                <w:kern w:val="0"/>
                <w:sz w:val="24"/>
                <w:lang w:val="en-US" w:eastAsia="zh-CN"/>
              </w:rPr>
              <w:t>1)医管信息发布</w:t>
            </w:r>
          </w:p>
          <w:p>
            <w:pPr>
              <w:widowControl/>
              <w:rPr>
                <w:rFonts w:hint="eastAsia" w:ascii="宋体" w:hAnsi="宋体"/>
                <w:kern w:val="0"/>
                <w:sz w:val="24"/>
                <w:lang w:val="en-US" w:eastAsia="zh-CN"/>
              </w:rPr>
            </w:pPr>
            <w:r>
              <w:rPr>
                <w:rFonts w:hint="eastAsia" w:ascii="宋体" w:hAnsi="宋体"/>
                <w:kern w:val="0"/>
                <w:sz w:val="24"/>
                <w:lang w:val="en-US" w:eastAsia="zh-CN"/>
              </w:rPr>
              <w:t>2)医院最新动态发布</w:t>
            </w:r>
          </w:p>
          <w:p>
            <w:pPr>
              <w:widowControl/>
              <w:rPr>
                <w:rFonts w:hint="eastAsia" w:ascii="宋体" w:hAnsi="宋体"/>
                <w:kern w:val="0"/>
                <w:sz w:val="24"/>
                <w:lang w:val="en-US" w:eastAsia="zh-CN"/>
              </w:rPr>
            </w:pPr>
            <w:r>
              <w:rPr>
                <w:rFonts w:hint="eastAsia" w:ascii="宋体" w:hAnsi="宋体"/>
                <w:kern w:val="0"/>
                <w:sz w:val="24"/>
                <w:lang w:val="en-US" w:eastAsia="zh-CN"/>
              </w:rPr>
              <w:t>3)各类信息分类管理</w:t>
            </w:r>
          </w:p>
          <w:p>
            <w:pPr>
              <w:widowControl/>
              <w:rPr>
                <w:rFonts w:hint="eastAsia" w:ascii="宋体" w:hAnsi="宋体"/>
                <w:color w:val="000000"/>
                <w:kern w:val="0"/>
                <w:sz w:val="24"/>
              </w:rPr>
            </w:pPr>
            <w:r>
              <w:rPr>
                <w:rFonts w:hint="eastAsia" w:ascii="宋体" w:hAnsi="宋体"/>
                <w:kern w:val="0"/>
                <w:sz w:val="24"/>
                <w:lang w:val="en-US" w:eastAsia="zh-CN"/>
              </w:rPr>
              <w:t>4)按指定人群或人员类别发布（如指定高级职称或指定科室）</w:t>
            </w:r>
          </w:p>
        </w:tc>
      </w:tr>
      <w:tr>
        <w:tblPrEx>
          <w:tblCellMar>
            <w:top w:w="0" w:type="dxa"/>
            <w:left w:w="108" w:type="dxa"/>
            <w:bottom w:w="0" w:type="dxa"/>
            <w:right w:w="108" w:type="dxa"/>
          </w:tblCellMar>
        </w:tblPrEx>
        <w:trPr>
          <w:trHeight w:val="324" w:hRule="atLeast"/>
        </w:trPr>
        <w:tc>
          <w:tcPr>
            <w:tcW w:w="445" w:type="pc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b/>
                <w:bCs/>
                <w:color w:val="000000"/>
                <w:kern w:val="0"/>
                <w:sz w:val="24"/>
                <w:lang w:val="en-US" w:eastAsia="zh-CN"/>
              </w:rPr>
            </w:pPr>
            <w:r>
              <w:rPr>
                <w:rFonts w:hint="eastAsia" w:ascii="宋体" w:hAnsi="宋体"/>
                <w:b/>
                <w:bCs/>
                <w:color w:val="000000"/>
                <w:kern w:val="0"/>
                <w:sz w:val="24"/>
                <w:lang w:val="en-US" w:eastAsia="zh-CN"/>
              </w:rPr>
              <w:t>4</w:t>
            </w:r>
          </w:p>
        </w:tc>
        <w:tc>
          <w:tcPr>
            <w:tcW w:w="1843" w:type="pct"/>
            <w:tcBorders>
              <w:top w:val="nil"/>
              <w:left w:val="single" w:color="auto" w:sz="8" w:space="0"/>
              <w:bottom w:val="single" w:color="000000" w:sz="8" w:space="0"/>
              <w:right w:val="single" w:color="auto" w:sz="8" w:space="0"/>
            </w:tcBorders>
            <w:vAlign w:val="center"/>
          </w:tcPr>
          <w:p>
            <w:pPr>
              <w:widowControl/>
              <w:jc w:val="center"/>
              <w:rPr>
                <w:rFonts w:hint="eastAsia" w:eastAsia="宋体" w:cs="Times New Roman" w:asciiTheme="minorEastAsia" w:hAnsiTheme="minorEastAsia"/>
                <w:sz w:val="24"/>
                <w:szCs w:val="24"/>
                <w:lang w:val="en-US" w:eastAsia="zh-CN" w:bidi="ar-SA"/>
              </w:rPr>
            </w:pPr>
            <w:r>
              <w:rPr>
                <w:rFonts w:hint="eastAsia" w:eastAsia="宋体" w:cs="Times New Roman" w:asciiTheme="minorEastAsia" w:hAnsiTheme="minorEastAsia"/>
                <w:sz w:val="24"/>
                <w:szCs w:val="24"/>
                <w:lang w:val="en-US" w:eastAsia="zh-CN" w:bidi="ar-SA"/>
              </w:rPr>
              <w:t>通知</w:t>
            </w:r>
          </w:p>
        </w:tc>
        <w:tc>
          <w:tcPr>
            <w:tcW w:w="2711" w:type="pct"/>
            <w:tcBorders>
              <w:top w:val="nil"/>
              <w:left w:val="nil"/>
              <w:bottom w:val="single" w:color="auto" w:sz="8" w:space="0"/>
              <w:right w:val="single" w:color="auto" w:sz="8" w:space="0"/>
            </w:tcBorders>
            <w:shd w:val="clear" w:color="auto" w:fill="auto"/>
            <w:vAlign w:val="center"/>
          </w:tcPr>
          <w:p>
            <w:pPr>
              <w:widowControl/>
              <w:rPr>
                <w:rFonts w:hint="eastAsia" w:ascii="宋体" w:hAnsi="宋体"/>
                <w:kern w:val="0"/>
                <w:sz w:val="24"/>
                <w:lang w:val="en-US" w:eastAsia="zh-CN"/>
              </w:rPr>
            </w:pPr>
            <w:r>
              <w:rPr>
                <w:rFonts w:hint="eastAsia" w:ascii="宋体" w:hAnsi="宋体"/>
                <w:kern w:val="0"/>
                <w:sz w:val="24"/>
                <w:lang w:val="en-US" w:eastAsia="zh-CN"/>
              </w:rPr>
              <w:t>1)医务处通知</w:t>
            </w:r>
          </w:p>
          <w:p>
            <w:pPr>
              <w:widowControl/>
              <w:rPr>
                <w:rFonts w:hint="eastAsia" w:ascii="宋体" w:hAnsi="宋体"/>
                <w:kern w:val="0"/>
                <w:sz w:val="24"/>
                <w:lang w:val="en-US" w:eastAsia="zh-CN"/>
              </w:rPr>
            </w:pPr>
            <w:r>
              <w:rPr>
                <w:rFonts w:hint="eastAsia" w:ascii="宋体" w:hAnsi="宋体"/>
                <w:kern w:val="0"/>
                <w:sz w:val="24"/>
                <w:lang w:val="en-US" w:eastAsia="zh-CN"/>
              </w:rPr>
              <w:t>2)医务处公告公示</w:t>
            </w:r>
          </w:p>
          <w:p>
            <w:pPr>
              <w:widowControl/>
              <w:rPr>
                <w:rFonts w:hint="eastAsia" w:ascii="宋体" w:hAnsi="宋体"/>
                <w:kern w:val="0"/>
                <w:sz w:val="24"/>
                <w:lang w:val="en-US" w:eastAsia="zh-CN"/>
              </w:rPr>
            </w:pPr>
            <w:r>
              <w:rPr>
                <w:rFonts w:hint="eastAsia" w:ascii="宋体" w:hAnsi="宋体"/>
                <w:kern w:val="0"/>
                <w:sz w:val="24"/>
                <w:lang w:val="en-US" w:eastAsia="zh-CN"/>
              </w:rPr>
              <w:t>3)分类发布管理</w:t>
            </w:r>
          </w:p>
          <w:p>
            <w:pPr>
              <w:widowControl/>
              <w:rPr>
                <w:rFonts w:hint="eastAsia" w:eastAsia="宋体" w:cs="Times New Roman" w:asciiTheme="minorEastAsia" w:hAnsiTheme="minorEastAsia"/>
                <w:sz w:val="24"/>
                <w:szCs w:val="24"/>
                <w:lang w:eastAsia="zh-CN"/>
              </w:rPr>
            </w:pPr>
            <w:r>
              <w:rPr>
                <w:rFonts w:hint="eastAsia" w:ascii="宋体" w:hAnsi="宋体"/>
                <w:kern w:val="0"/>
                <w:sz w:val="24"/>
                <w:lang w:val="en-US" w:eastAsia="zh-CN"/>
              </w:rPr>
              <w:t>4)按指定人群或人员类别发布（如指定高级职称或指定科室等）</w:t>
            </w:r>
          </w:p>
        </w:tc>
      </w:tr>
      <w:tr>
        <w:tblPrEx>
          <w:tblCellMar>
            <w:top w:w="0" w:type="dxa"/>
            <w:left w:w="108" w:type="dxa"/>
            <w:bottom w:w="0" w:type="dxa"/>
            <w:right w:w="108" w:type="dxa"/>
          </w:tblCellMar>
        </w:tblPrEx>
        <w:trPr>
          <w:trHeight w:val="324" w:hRule="atLeast"/>
        </w:trPr>
        <w:tc>
          <w:tcPr>
            <w:tcW w:w="5000" w:type="pct"/>
            <w:gridSpan w:val="3"/>
            <w:tcBorders>
              <w:top w:val="nil"/>
              <w:left w:val="single" w:color="auto" w:sz="8" w:space="0"/>
              <w:bottom w:val="single" w:color="auto" w:sz="8" w:space="0"/>
              <w:right w:val="single" w:color="000000" w:sz="8" w:space="0"/>
            </w:tcBorders>
            <w:shd w:val="clear" w:color="auto" w:fill="auto"/>
            <w:vAlign w:val="center"/>
          </w:tcPr>
          <w:p>
            <w:pPr>
              <w:widowControl/>
              <w:jc w:val="left"/>
              <w:rPr>
                <w:rFonts w:ascii="宋体" w:hAnsi="宋体"/>
                <w:b/>
                <w:bCs/>
                <w:color w:val="000000"/>
                <w:kern w:val="0"/>
                <w:sz w:val="24"/>
              </w:rPr>
            </w:pPr>
            <w:r>
              <w:rPr>
                <w:rFonts w:hint="eastAsia" w:ascii="宋体" w:hAnsi="宋体"/>
                <w:b/>
                <w:bCs/>
                <w:color w:val="000000"/>
                <w:kern w:val="0"/>
                <w:sz w:val="24"/>
              </w:rPr>
              <w:t>(二)</w:t>
            </w:r>
            <w:r>
              <w:rPr>
                <w:rFonts w:hint="eastAsia" w:ascii="宋体" w:hAnsi="宋体"/>
                <w:b/>
                <w:bCs/>
                <w:color w:val="000000"/>
                <w:kern w:val="0"/>
                <w:sz w:val="24"/>
                <w:lang w:val="en-US" w:eastAsia="zh-CN"/>
              </w:rPr>
              <w:t>医师</w:t>
            </w:r>
            <w:r>
              <w:rPr>
                <w:rFonts w:hint="eastAsia" w:ascii="宋体" w:hAnsi="宋体"/>
                <w:b/>
                <w:bCs/>
                <w:color w:val="000000"/>
                <w:kern w:val="0"/>
                <w:sz w:val="24"/>
              </w:rPr>
              <w:t>管理</w:t>
            </w:r>
          </w:p>
        </w:tc>
      </w:tr>
      <w:tr>
        <w:tblPrEx>
          <w:tblCellMar>
            <w:top w:w="0" w:type="dxa"/>
            <w:left w:w="108" w:type="dxa"/>
            <w:bottom w:w="0" w:type="dxa"/>
            <w:right w:w="108" w:type="dxa"/>
          </w:tblCellMar>
        </w:tblPrEx>
        <w:trPr>
          <w:trHeight w:val="636"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b/>
                <w:bCs/>
                <w:color w:val="000000"/>
                <w:kern w:val="0"/>
                <w:sz w:val="24"/>
                <w:lang w:eastAsia="zh-CN"/>
              </w:rPr>
            </w:pPr>
            <w:r>
              <w:rPr>
                <w:rFonts w:hint="eastAsia" w:ascii="宋体" w:hAnsi="宋体"/>
                <w:b/>
                <w:bCs/>
                <w:color w:val="000000"/>
                <w:kern w:val="0"/>
                <w:sz w:val="24"/>
                <w:lang w:val="en-US" w:eastAsia="zh-CN"/>
              </w:rPr>
              <w:t>5</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kern w:val="0"/>
                <w:sz w:val="24"/>
              </w:rPr>
            </w:pPr>
            <w:r>
              <w:rPr>
                <w:rFonts w:hint="eastAsia" w:ascii="宋体" w:hAnsi="宋体"/>
                <w:kern w:val="0"/>
                <w:sz w:val="24"/>
              </w:rPr>
              <w:t>学术活动管理/进修学习管理/外出培训和参加比赛活动</w:t>
            </w: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kern w:val="0"/>
                <w:sz w:val="24"/>
              </w:rPr>
            </w:pPr>
            <w:r>
              <w:rPr>
                <w:rFonts w:hint="eastAsia" w:ascii="宋体" w:hAnsi="宋体"/>
                <w:kern w:val="0"/>
                <w:sz w:val="24"/>
              </w:rPr>
              <w:t>1)医师可按规定在系统中登记学术活动、外出进修、培训、比赛获奖活动。</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kern w:val="0"/>
                <w:sz w:val="24"/>
              </w:rPr>
            </w:pPr>
            <w:r>
              <w:rPr>
                <w:rFonts w:hint="eastAsia" w:ascii="宋体" w:hAnsi="宋体"/>
                <w:kern w:val="0"/>
                <w:sz w:val="24"/>
              </w:rPr>
              <w:t>2)医务部管理人员可查看全院所有学术活动外出进修、培训、比赛获奖开展或参与情况。</w:t>
            </w:r>
          </w:p>
        </w:tc>
      </w:tr>
      <w:tr>
        <w:tblPrEx>
          <w:tblCellMar>
            <w:top w:w="0" w:type="dxa"/>
            <w:left w:w="108" w:type="dxa"/>
            <w:bottom w:w="0" w:type="dxa"/>
            <w:right w:w="108" w:type="dxa"/>
          </w:tblCellMar>
        </w:tblPrEx>
        <w:trPr>
          <w:trHeight w:val="636"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b/>
                <w:bCs/>
                <w:color w:val="000000"/>
                <w:kern w:val="0"/>
                <w:sz w:val="24"/>
                <w:lang w:eastAsia="zh-CN"/>
              </w:rPr>
            </w:pPr>
            <w:r>
              <w:rPr>
                <w:rFonts w:hint="eastAsia" w:ascii="宋体" w:hAnsi="宋体"/>
                <w:b/>
                <w:bCs/>
                <w:color w:val="000000"/>
                <w:kern w:val="0"/>
                <w:sz w:val="24"/>
                <w:lang w:val="en-US" w:eastAsia="zh-CN"/>
              </w:rPr>
              <w:t>6</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指令性任务</w:t>
            </w:r>
          </w:p>
        </w:tc>
        <w:tc>
          <w:tcPr>
            <w:tcW w:w="2711" w:type="pct"/>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w:t>
            </w:r>
            <w:r>
              <w:rPr>
                <w:rFonts w:hint="eastAsia" w:ascii="宋体" w:hAnsi="宋体"/>
                <w:kern w:val="0"/>
                <w:sz w:val="24"/>
              </w:rPr>
              <w:t>)</w:t>
            </w:r>
            <w:r>
              <w:rPr>
                <w:rFonts w:hint="eastAsia" w:ascii="宋体" w:hAnsi="宋体"/>
                <w:color w:val="000000"/>
                <w:kern w:val="0"/>
                <w:sz w:val="24"/>
              </w:rPr>
              <w:t>用于登记医院承担的政府指令性任务，所登记的任务可被医生外出登记、对口支援等业务模块所引用</w:t>
            </w:r>
          </w:p>
        </w:tc>
      </w:tr>
      <w:tr>
        <w:tblPrEx>
          <w:tblCellMar>
            <w:top w:w="0" w:type="dxa"/>
            <w:left w:w="108" w:type="dxa"/>
            <w:bottom w:w="0" w:type="dxa"/>
            <w:right w:w="108" w:type="dxa"/>
          </w:tblCellMar>
        </w:tblPrEx>
        <w:trPr>
          <w:trHeight w:val="636"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2</w:t>
            </w:r>
            <w:r>
              <w:rPr>
                <w:rFonts w:hint="eastAsia" w:ascii="宋体" w:hAnsi="宋体"/>
                <w:kern w:val="0"/>
                <w:sz w:val="24"/>
              </w:rPr>
              <w:t>)</w:t>
            </w:r>
            <w:r>
              <w:rPr>
                <w:rFonts w:hint="eastAsia" w:ascii="宋体" w:hAnsi="宋体"/>
                <w:color w:val="000000"/>
                <w:kern w:val="0"/>
                <w:sz w:val="24"/>
              </w:rPr>
              <w:t>同时提供了指令性任务参与情况的分析功能，包括参与科室、参数人次、受援单位等内容</w:t>
            </w:r>
          </w:p>
        </w:tc>
      </w:tr>
      <w:tr>
        <w:tblPrEx>
          <w:tblCellMar>
            <w:top w:w="0" w:type="dxa"/>
            <w:left w:w="108" w:type="dxa"/>
            <w:bottom w:w="0" w:type="dxa"/>
            <w:right w:w="108" w:type="dxa"/>
          </w:tblCellMar>
        </w:tblPrEx>
        <w:trPr>
          <w:trHeight w:val="90" w:hRule="atLeast"/>
        </w:trPr>
        <w:tc>
          <w:tcPr>
            <w:tcW w:w="445" w:type="pc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b/>
                <w:bCs/>
                <w:color w:val="000000"/>
                <w:kern w:val="0"/>
                <w:sz w:val="24"/>
                <w:lang w:val="en-US" w:eastAsia="zh-CN"/>
              </w:rPr>
            </w:pPr>
            <w:r>
              <w:rPr>
                <w:rFonts w:hint="eastAsia" w:ascii="宋体" w:hAnsi="宋体"/>
                <w:b/>
                <w:bCs/>
                <w:color w:val="000000"/>
                <w:kern w:val="0"/>
                <w:sz w:val="24"/>
                <w:lang w:val="en-US" w:eastAsia="zh-CN"/>
              </w:rPr>
              <w:t>7</w:t>
            </w:r>
          </w:p>
        </w:tc>
        <w:tc>
          <w:tcPr>
            <w:tcW w:w="1843" w:type="pct"/>
            <w:tcBorders>
              <w:top w:val="nil"/>
              <w:left w:val="single" w:color="auto" w:sz="8" w:space="0"/>
              <w:bottom w:val="single" w:color="000000" w:sz="8" w:space="0"/>
              <w:right w:val="single" w:color="auto" w:sz="8" w:space="0"/>
            </w:tcBorders>
            <w:vAlign w:val="center"/>
          </w:tcPr>
          <w:p>
            <w:pPr>
              <w:widowControl/>
              <w:jc w:val="center"/>
              <w:rPr>
                <w:rFonts w:ascii="宋体" w:hAnsi="宋体"/>
                <w:color w:val="000000"/>
                <w:kern w:val="0"/>
                <w:sz w:val="24"/>
              </w:rPr>
            </w:pPr>
            <w:r>
              <w:rPr>
                <w:rFonts w:hint="eastAsia" w:eastAsia="宋体" w:cs="Times New Roman" w:asciiTheme="minorEastAsia" w:hAnsiTheme="minorEastAsia"/>
                <w:kern w:val="2"/>
                <w:sz w:val="24"/>
                <w:szCs w:val="24"/>
                <w:lang w:val="en-US" w:eastAsia="zh-CN" w:bidi="ar-SA"/>
              </w:rPr>
              <w:t>导航仓数据台</w:t>
            </w: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olor w:val="000000"/>
                <w:kern w:val="0"/>
                <w:sz w:val="24"/>
                <w:lang w:eastAsia="zh-CN"/>
              </w:rPr>
            </w:pPr>
            <w:r>
              <w:rPr>
                <w:kern w:val="0"/>
                <w:sz w:val="14"/>
                <w:szCs w:val="14"/>
              </w:rPr>
              <w:t> </w:t>
            </w:r>
            <w:r>
              <w:rPr>
                <w:rFonts w:hint="eastAsia" w:ascii="宋体" w:hAnsi="宋体" w:cs="宋体"/>
                <w:b/>
                <w:kern w:val="0"/>
                <w:sz w:val="24"/>
                <w:lang w:eastAsia="zh-CN"/>
              </w:rPr>
              <w:t xml:space="preserve"> </w:t>
            </w:r>
            <w:r>
              <w:rPr>
                <w:rFonts w:hint="eastAsia" w:ascii="宋体" w:hAnsi="宋体"/>
                <w:color w:val="000000"/>
                <w:kern w:val="0"/>
                <w:sz w:val="24"/>
                <w:lang w:eastAsia="zh-CN"/>
              </w:rPr>
              <w:t>人员类别数据展示、执业类别占比、学历同比、资格级别占比、职称同比、职称晋升数据展示、</w:t>
            </w:r>
          </w:p>
          <w:p>
            <w:pPr>
              <w:widowControl/>
              <w:jc w:val="left"/>
              <w:rPr>
                <w:rFonts w:hint="eastAsia" w:ascii="宋体" w:hAnsi="宋体"/>
                <w:color w:val="000000"/>
                <w:kern w:val="0"/>
                <w:sz w:val="24"/>
              </w:rPr>
            </w:pPr>
            <w:r>
              <w:rPr>
                <w:rFonts w:hint="eastAsia" w:ascii="宋体" w:hAnsi="宋体"/>
                <w:color w:val="000000"/>
                <w:kern w:val="0"/>
                <w:sz w:val="24"/>
                <w:lang w:eastAsia="zh-CN"/>
              </w:rPr>
              <w:t>科室人员数据</w:t>
            </w:r>
            <w:r>
              <w:rPr>
                <w:rFonts w:hint="eastAsia" w:ascii="宋体" w:hAnsi="宋体"/>
                <w:color w:val="000000"/>
                <w:kern w:val="0"/>
                <w:sz w:val="24"/>
                <w:lang w:val="en-US" w:eastAsia="zh-CN"/>
              </w:rPr>
              <w:t>的</w:t>
            </w:r>
            <w:r>
              <w:rPr>
                <w:rFonts w:hint="eastAsia" w:ascii="宋体" w:hAnsi="宋体"/>
                <w:color w:val="000000"/>
                <w:kern w:val="0"/>
                <w:sz w:val="24"/>
                <w:lang w:eastAsia="zh-CN"/>
              </w:rPr>
              <w:t>展示。</w:t>
            </w:r>
          </w:p>
        </w:tc>
      </w:tr>
      <w:tr>
        <w:tblPrEx>
          <w:tblCellMar>
            <w:top w:w="0" w:type="dxa"/>
            <w:left w:w="108" w:type="dxa"/>
            <w:bottom w:w="0" w:type="dxa"/>
            <w:right w:w="108" w:type="dxa"/>
          </w:tblCellMar>
        </w:tblPrEx>
        <w:trPr>
          <w:trHeight w:val="636" w:hRule="atLeast"/>
        </w:trPr>
        <w:tc>
          <w:tcPr>
            <w:tcW w:w="445" w:type="pc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b/>
                <w:bCs/>
                <w:color w:val="000000"/>
                <w:kern w:val="0"/>
                <w:sz w:val="24"/>
                <w:lang w:val="en-US" w:eastAsia="zh-CN"/>
              </w:rPr>
            </w:pPr>
            <w:r>
              <w:rPr>
                <w:rFonts w:hint="eastAsia" w:ascii="宋体" w:hAnsi="宋体"/>
                <w:b/>
                <w:bCs/>
                <w:color w:val="000000"/>
                <w:kern w:val="0"/>
                <w:sz w:val="24"/>
                <w:lang w:val="en-US" w:eastAsia="zh-CN"/>
              </w:rPr>
              <w:t>8</w:t>
            </w:r>
          </w:p>
        </w:tc>
        <w:tc>
          <w:tcPr>
            <w:tcW w:w="1843" w:type="pc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s="Times New Roman" w:asciiTheme="minorEastAsia" w:hAnsiTheme="minorEastAsia"/>
                <w:kern w:val="2"/>
                <w:sz w:val="24"/>
                <w:szCs w:val="24"/>
                <w:lang w:val="en-US" w:eastAsia="zh-CN" w:bidi="ar-SA"/>
              </w:rPr>
            </w:pPr>
            <w:r>
              <w:rPr>
                <w:rFonts w:hint="eastAsia" w:eastAsia="宋体" w:cs="Times New Roman" w:asciiTheme="minorEastAsia" w:hAnsiTheme="minorEastAsia"/>
                <w:kern w:val="2"/>
                <w:sz w:val="24"/>
                <w:szCs w:val="24"/>
                <w:lang w:val="en-US" w:eastAsia="zh-CN" w:bidi="ar-SA"/>
              </w:rPr>
              <w:t>医师情况分类管理</w:t>
            </w: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1)人员基础信息管理模块（与人事管理系统对接）</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2)工作经历管理模块（与人事管理系统对接）</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3)学历教育经历管理模块（与人事管理系统对接）</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4)职称评聘管理模块（与人事管理系统对接）</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5)资格证书管理模块（与人事管理系统对接）</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6)代表性学术论文管理（与科研管理系统对接）</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7)专著教材管理（与科研管理系统对接）</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8)科研情况管理模块（与科研管理系统对接）</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9)新技术新项目管理模块</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10)培训情况管理模块</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11)考核情况管理模块</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12)重大医疗活动管理模块</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13)技术竞赛管理模块</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14)医疗纠纷投诉管理模块</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15)外出进修学习管理模块</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16)各项荣誉（与人事、教学、科研管理系统对接）</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17)社会任职（与科研管理系统对接）</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18)重要学术活动管理模块</w:t>
            </w:r>
          </w:p>
          <w:p>
            <w:pPr>
              <w:widowControl/>
              <w:jc w:val="left"/>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19）规培经历模块</w:t>
            </w:r>
          </w:p>
          <w:p>
            <w:pPr>
              <w:widowControl/>
              <w:jc w:val="left"/>
              <w:rPr>
                <w:rFonts w:hint="eastAsia" w:ascii="宋体" w:hAnsi="宋体"/>
                <w:color w:val="000000"/>
                <w:kern w:val="0"/>
                <w:sz w:val="24"/>
                <w:lang w:eastAsia="zh-CN"/>
              </w:rPr>
            </w:pPr>
            <w:r>
              <w:rPr>
                <w:rFonts w:hint="eastAsia" w:ascii="宋体" w:hAnsi="宋体"/>
                <w:color w:val="000000"/>
                <w:kern w:val="0"/>
                <w:sz w:val="21"/>
                <w:szCs w:val="21"/>
                <w:lang w:val="en-US" w:eastAsia="zh-CN"/>
              </w:rPr>
              <w:t>20）科室轮转模块</w:t>
            </w:r>
          </w:p>
        </w:tc>
      </w:tr>
      <w:tr>
        <w:tblPrEx>
          <w:tblCellMar>
            <w:top w:w="0" w:type="dxa"/>
            <w:left w:w="108" w:type="dxa"/>
            <w:bottom w:w="0" w:type="dxa"/>
            <w:right w:w="108" w:type="dxa"/>
          </w:tblCellMar>
        </w:tblPrEx>
        <w:trPr>
          <w:trHeight w:val="636" w:hRule="atLeast"/>
        </w:trPr>
        <w:tc>
          <w:tcPr>
            <w:tcW w:w="445" w:type="pc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b/>
                <w:bCs/>
                <w:color w:val="000000"/>
                <w:kern w:val="0"/>
                <w:sz w:val="24"/>
                <w:lang w:val="en-US" w:eastAsia="zh-CN"/>
              </w:rPr>
            </w:pPr>
            <w:r>
              <w:rPr>
                <w:rFonts w:hint="eastAsia" w:ascii="宋体" w:hAnsi="宋体"/>
                <w:b/>
                <w:bCs/>
                <w:color w:val="000000"/>
                <w:kern w:val="0"/>
                <w:sz w:val="24"/>
                <w:lang w:val="en-US" w:eastAsia="zh-CN"/>
              </w:rPr>
              <w:t>9</w:t>
            </w:r>
          </w:p>
        </w:tc>
        <w:tc>
          <w:tcPr>
            <w:tcW w:w="1843" w:type="pc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s="Times New Roman" w:asciiTheme="minorEastAsia" w:hAnsi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审核模块</w:t>
            </w:r>
          </w:p>
        </w:tc>
        <w:tc>
          <w:tcPr>
            <w:tcW w:w="2711" w:type="pct"/>
            <w:tcBorders>
              <w:top w:val="nil"/>
              <w:left w:val="nil"/>
              <w:bottom w:val="single" w:color="auto" w:sz="8" w:space="0"/>
              <w:right w:val="single" w:color="auto" w:sz="8" w:space="0"/>
            </w:tcBorders>
            <w:shd w:val="clear" w:color="auto" w:fill="auto"/>
            <w:vAlign w:val="center"/>
          </w:tcPr>
          <w:p>
            <w:pPr>
              <w:widowControl/>
              <w:rPr>
                <w:rFonts w:hint="eastAsia" w:ascii="宋体" w:hAnsi="宋体"/>
                <w:kern w:val="0"/>
                <w:sz w:val="24"/>
                <w:lang w:val="en-US" w:eastAsia="zh-CN"/>
              </w:rPr>
            </w:pPr>
            <w:r>
              <w:rPr>
                <w:rFonts w:hint="eastAsia" w:ascii="宋体" w:hAnsi="宋体"/>
                <w:kern w:val="0"/>
                <w:sz w:val="24"/>
              </w:rPr>
              <w:t>1)</w:t>
            </w:r>
            <w:r>
              <w:rPr>
                <w:rFonts w:hint="eastAsia" w:ascii="宋体" w:hAnsi="宋体"/>
                <w:kern w:val="0"/>
                <w:sz w:val="24"/>
                <w:lang w:val="en-US" w:eastAsia="zh-CN"/>
              </w:rPr>
              <w:t>实现各职能部门的分工审核</w:t>
            </w:r>
          </w:p>
          <w:p>
            <w:pPr>
              <w:widowControl/>
              <w:rPr>
                <w:rFonts w:hint="eastAsia" w:ascii="宋体" w:hAnsi="宋体"/>
                <w:kern w:val="0"/>
                <w:sz w:val="24"/>
                <w:lang w:val="en-US" w:eastAsia="zh-CN"/>
              </w:rPr>
            </w:pPr>
            <w:r>
              <w:rPr>
                <w:rFonts w:hint="eastAsia" w:ascii="宋体" w:hAnsi="宋体"/>
                <w:kern w:val="0"/>
                <w:sz w:val="24"/>
                <w:lang w:val="en-US" w:eastAsia="zh-CN"/>
              </w:rPr>
              <w:t>2)实现审核提醒功能</w:t>
            </w:r>
          </w:p>
          <w:p>
            <w:pPr>
              <w:widowControl/>
              <w:rPr>
                <w:rFonts w:hint="eastAsia" w:ascii="宋体" w:hAnsi="宋体"/>
                <w:kern w:val="0"/>
                <w:sz w:val="24"/>
                <w:lang w:val="en-US" w:eastAsia="zh-CN"/>
              </w:rPr>
            </w:pPr>
            <w:r>
              <w:rPr>
                <w:rFonts w:hint="eastAsia" w:ascii="宋体" w:hAnsi="宋体"/>
                <w:kern w:val="0"/>
                <w:sz w:val="24"/>
                <w:lang w:val="en-US" w:eastAsia="zh-CN"/>
              </w:rPr>
              <w:t>3)实现审核对话功能</w:t>
            </w:r>
          </w:p>
          <w:p>
            <w:pPr>
              <w:widowControl/>
              <w:rPr>
                <w:rFonts w:hint="eastAsia" w:ascii="宋体" w:hAnsi="宋体"/>
                <w:kern w:val="0"/>
                <w:sz w:val="24"/>
              </w:rPr>
            </w:pPr>
            <w:r>
              <w:rPr>
                <w:rFonts w:hint="eastAsia" w:ascii="宋体" w:hAnsi="宋体"/>
                <w:kern w:val="0"/>
                <w:sz w:val="24"/>
                <w:lang w:val="en-US" w:eastAsia="zh-CN"/>
              </w:rPr>
              <w:t>4)实现审核设置功能</w:t>
            </w:r>
          </w:p>
        </w:tc>
      </w:tr>
      <w:tr>
        <w:tblPrEx>
          <w:tblCellMar>
            <w:top w:w="0" w:type="dxa"/>
            <w:left w:w="108" w:type="dxa"/>
            <w:bottom w:w="0" w:type="dxa"/>
            <w:right w:w="108" w:type="dxa"/>
          </w:tblCellMar>
        </w:tblPrEx>
        <w:trPr>
          <w:trHeight w:val="90" w:hRule="atLeast"/>
        </w:trPr>
        <w:tc>
          <w:tcPr>
            <w:tcW w:w="445" w:type="pc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b/>
                <w:bCs/>
                <w:color w:val="000000"/>
                <w:kern w:val="0"/>
                <w:sz w:val="24"/>
                <w:lang w:val="en-US" w:eastAsia="zh-CN"/>
              </w:rPr>
            </w:pPr>
            <w:r>
              <w:rPr>
                <w:rFonts w:hint="eastAsia" w:ascii="宋体" w:hAnsi="宋体"/>
                <w:b/>
                <w:bCs/>
                <w:color w:val="000000"/>
                <w:kern w:val="0"/>
                <w:sz w:val="24"/>
                <w:lang w:val="en-US" w:eastAsia="zh-CN"/>
              </w:rPr>
              <w:t>10</w:t>
            </w:r>
          </w:p>
        </w:tc>
        <w:tc>
          <w:tcPr>
            <w:tcW w:w="1843" w:type="pc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cs="Times New Roman" w:asciiTheme="minorEastAsia" w:hAnsi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汇总模块</w:t>
            </w:r>
          </w:p>
        </w:tc>
        <w:tc>
          <w:tcPr>
            <w:tcW w:w="2711" w:type="pct"/>
            <w:tcBorders>
              <w:top w:val="nil"/>
              <w:left w:val="nil"/>
              <w:bottom w:val="single" w:color="auto" w:sz="8" w:space="0"/>
              <w:right w:val="single" w:color="auto" w:sz="8" w:space="0"/>
            </w:tcBorders>
            <w:shd w:val="clear" w:color="auto" w:fill="auto"/>
            <w:vAlign w:val="center"/>
          </w:tcPr>
          <w:p>
            <w:pPr>
              <w:widowControl/>
              <w:rPr>
                <w:rFonts w:hint="default" w:ascii="宋体" w:hAnsi="宋体"/>
                <w:kern w:val="0"/>
                <w:sz w:val="24"/>
                <w:lang w:val="en-US"/>
              </w:rPr>
            </w:pPr>
            <w:r>
              <w:rPr>
                <w:rFonts w:hint="eastAsia" w:ascii="宋体" w:hAnsi="宋体" w:cs="宋体"/>
                <w:b/>
                <w:kern w:val="0"/>
                <w:sz w:val="24"/>
                <w:lang w:eastAsia="zh-CN"/>
              </w:rPr>
              <w:t xml:space="preserve"> </w:t>
            </w:r>
            <w:r>
              <w:rPr>
                <w:rFonts w:hint="eastAsia" w:ascii="宋体" w:hAnsi="宋体"/>
                <w:kern w:val="0"/>
                <w:sz w:val="24"/>
                <w:lang w:val="en-US" w:eastAsia="zh-CN"/>
              </w:rPr>
              <w:t>具备分类展示、个人全部信息展示、按条件查询合数据导出功能。</w:t>
            </w:r>
          </w:p>
        </w:tc>
      </w:tr>
      <w:tr>
        <w:tblPrEx>
          <w:tblCellMar>
            <w:top w:w="0" w:type="dxa"/>
            <w:left w:w="108" w:type="dxa"/>
            <w:bottom w:w="0" w:type="dxa"/>
            <w:right w:w="108" w:type="dxa"/>
          </w:tblCellMar>
        </w:tblPrEx>
        <w:trPr>
          <w:trHeight w:val="636" w:hRule="atLeast"/>
        </w:trPr>
        <w:tc>
          <w:tcPr>
            <w:tcW w:w="445" w:type="pc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b/>
                <w:bCs/>
                <w:color w:val="000000"/>
                <w:kern w:val="0"/>
                <w:sz w:val="24"/>
                <w:lang w:val="en-US" w:eastAsia="zh-CN"/>
              </w:rPr>
            </w:pPr>
            <w:r>
              <w:rPr>
                <w:rFonts w:hint="eastAsia" w:ascii="宋体" w:hAnsi="宋体"/>
                <w:b/>
                <w:bCs/>
                <w:color w:val="000000"/>
                <w:kern w:val="0"/>
                <w:sz w:val="24"/>
                <w:lang w:val="en-US" w:eastAsia="zh-CN"/>
              </w:rPr>
              <w:t>11</w:t>
            </w:r>
          </w:p>
        </w:tc>
        <w:tc>
          <w:tcPr>
            <w:tcW w:w="1843" w:type="pc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cs="Times New Roman" w:asciiTheme="minorEastAsia" w:hAnsiTheme="minorEastAsia"/>
                <w:kern w:val="2"/>
                <w:sz w:val="24"/>
                <w:szCs w:val="24"/>
                <w:lang w:val="en-US" w:eastAsia="zh-CN" w:bidi="ar-SA"/>
              </w:rPr>
            </w:pPr>
            <w:r>
              <w:rPr>
                <w:rFonts w:hint="eastAsia" w:cs="Times New Roman" w:asciiTheme="minorEastAsia" w:hAnsiTheme="minorEastAsia"/>
                <w:kern w:val="2"/>
                <w:sz w:val="24"/>
                <w:szCs w:val="24"/>
                <w:lang w:val="en-US" w:eastAsia="zh-CN" w:bidi="ar-SA"/>
              </w:rPr>
              <w:t>统计分析模块</w:t>
            </w:r>
          </w:p>
        </w:tc>
        <w:tc>
          <w:tcPr>
            <w:tcW w:w="2711" w:type="pct"/>
            <w:tcBorders>
              <w:top w:val="nil"/>
              <w:left w:val="nil"/>
              <w:bottom w:val="single" w:color="auto" w:sz="8" w:space="0"/>
              <w:right w:val="single" w:color="auto" w:sz="8" w:space="0"/>
            </w:tcBorders>
            <w:shd w:val="clear" w:color="auto" w:fill="auto"/>
            <w:vAlign w:val="center"/>
          </w:tcPr>
          <w:p>
            <w:pPr>
              <w:widowControl/>
              <w:rPr>
                <w:rFonts w:hint="eastAsia" w:ascii="宋体" w:hAnsi="宋体"/>
                <w:kern w:val="0"/>
                <w:sz w:val="24"/>
                <w:lang w:val="en-US" w:eastAsia="zh-CN"/>
              </w:rPr>
            </w:pPr>
            <w:r>
              <w:rPr>
                <w:rFonts w:hint="eastAsia" w:ascii="宋体" w:hAnsi="宋体"/>
                <w:kern w:val="0"/>
                <w:sz w:val="24"/>
                <w:lang w:val="en-US" w:eastAsia="zh-CN"/>
              </w:rPr>
              <w:t>1)</w:t>
            </w:r>
            <w:r>
              <w:rPr>
                <w:rFonts w:hint="eastAsia" w:ascii="宋体" w:hAnsi="宋体" w:cs="宋体"/>
                <w:b/>
                <w:kern w:val="0"/>
                <w:sz w:val="24"/>
                <w:lang w:eastAsia="zh-CN"/>
              </w:rPr>
              <w:t xml:space="preserve"> </w:t>
            </w:r>
            <w:r>
              <w:rPr>
                <w:rFonts w:hint="eastAsia" w:ascii="宋体" w:hAnsi="宋体"/>
                <w:kern w:val="0"/>
                <w:sz w:val="24"/>
                <w:lang w:val="en-US" w:eastAsia="zh-CN"/>
              </w:rPr>
              <w:t>分类统计</w:t>
            </w:r>
          </w:p>
          <w:p>
            <w:pPr>
              <w:widowControl/>
              <w:rPr>
                <w:rFonts w:hint="eastAsia" w:ascii="宋体" w:hAnsi="宋体"/>
                <w:kern w:val="0"/>
                <w:sz w:val="24"/>
                <w:lang w:val="en-US" w:eastAsia="zh-CN"/>
              </w:rPr>
            </w:pPr>
            <w:r>
              <w:rPr>
                <w:rFonts w:hint="eastAsia" w:ascii="宋体" w:hAnsi="宋体"/>
                <w:kern w:val="0"/>
                <w:sz w:val="24"/>
                <w:lang w:val="en-US" w:eastAsia="zh-CN"/>
              </w:rPr>
              <w:t>聘用等级、职称级别、最高学历、在职状态、证书类别、所在科室、执业类别、职务类别</w:t>
            </w:r>
          </w:p>
          <w:p>
            <w:pPr>
              <w:widowControl/>
              <w:rPr>
                <w:rFonts w:hint="eastAsia" w:ascii="宋体" w:hAnsi="宋体"/>
                <w:kern w:val="0"/>
                <w:sz w:val="24"/>
                <w:lang w:val="en-US" w:eastAsia="zh-CN"/>
              </w:rPr>
            </w:pPr>
            <w:r>
              <w:rPr>
                <w:rFonts w:hint="eastAsia" w:ascii="宋体" w:hAnsi="宋体"/>
                <w:kern w:val="0"/>
                <w:sz w:val="24"/>
                <w:lang w:val="en-US" w:eastAsia="zh-CN"/>
              </w:rPr>
              <w:t>2)人员一览表统计、科室一览表</w:t>
            </w:r>
          </w:p>
          <w:p>
            <w:pPr>
              <w:widowControl/>
              <w:rPr>
                <w:rFonts w:hint="eastAsia" w:ascii="宋体" w:hAnsi="宋体"/>
                <w:kern w:val="0"/>
                <w:sz w:val="24"/>
                <w:lang w:val="en-US" w:eastAsia="zh-CN"/>
              </w:rPr>
            </w:pPr>
            <w:r>
              <w:rPr>
                <w:rFonts w:hint="eastAsia" w:ascii="宋体" w:hAnsi="宋体"/>
                <w:kern w:val="0"/>
                <w:sz w:val="24"/>
                <w:lang w:val="en-US" w:eastAsia="zh-CN"/>
              </w:rPr>
              <w:t>3)</w:t>
            </w:r>
            <w:r>
              <w:rPr>
                <w:rFonts w:hint="eastAsia" w:ascii="宋体" w:hAnsi="宋体" w:cs="宋体"/>
                <w:b/>
                <w:kern w:val="0"/>
                <w:sz w:val="24"/>
                <w:lang w:eastAsia="zh-CN"/>
              </w:rPr>
              <w:t xml:space="preserve"> </w:t>
            </w:r>
            <w:r>
              <w:rPr>
                <w:rFonts w:hint="eastAsia" w:ascii="宋体" w:hAnsi="宋体"/>
                <w:kern w:val="0"/>
                <w:sz w:val="24"/>
                <w:lang w:val="en-US" w:eastAsia="zh-CN"/>
              </w:rPr>
              <w:t>分模块图表（柱状图、饼状图）展示分析结果，在分析视图中可查看各项指标当前值、同比趋势、环比趋势、指标年度趋势图</w:t>
            </w:r>
          </w:p>
          <w:p>
            <w:pPr>
              <w:pStyle w:val="2"/>
              <w:ind w:left="0" w:leftChars="0" w:firstLine="0" w:firstLineChars="0"/>
              <w:rPr>
                <w:rFonts w:hint="eastAsia" w:ascii="宋体" w:hAnsi="宋体"/>
                <w:color w:val="000000"/>
                <w:kern w:val="0"/>
                <w:sz w:val="24"/>
              </w:rPr>
            </w:pPr>
            <w:r>
              <w:rPr>
                <w:rFonts w:hint="eastAsia" w:ascii="宋体" w:hAnsi="宋体"/>
                <w:color w:val="000000"/>
                <w:kern w:val="0"/>
                <w:sz w:val="24"/>
                <w:lang w:val="en-US" w:eastAsia="zh-CN"/>
              </w:rPr>
              <w:t>4</w:t>
            </w:r>
            <w:r>
              <w:rPr>
                <w:rFonts w:hint="eastAsia" w:ascii="宋体" w:hAnsi="宋体"/>
                <w:color w:val="000000"/>
                <w:kern w:val="0"/>
                <w:sz w:val="24"/>
              </w:rPr>
              <w:t>)支持移动设备访问报表，报表无需针对不同访问终端开发多套报表，支持Windows Mobile， iPhone，iPad等主流移动设备</w:t>
            </w:r>
          </w:p>
          <w:p>
            <w:pPr>
              <w:pStyle w:val="2"/>
              <w:ind w:left="0" w:leftChars="0" w:firstLine="0" w:firstLineChars="0"/>
              <w:rPr>
                <w:rFonts w:hint="eastAsia"/>
              </w:rPr>
            </w:pPr>
            <w:r>
              <w:rPr>
                <w:rFonts w:hint="eastAsia" w:ascii="宋体" w:hAnsi="宋体"/>
                <w:color w:val="000000"/>
                <w:kern w:val="0"/>
                <w:sz w:val="24"/>
                <w:lang w:val="en-US" w:eastAsia="zh-CN"/>
              </w:rPr>
              <w:t>5</w:t>
            </w:r>
            <w:r>
              <w:rPr>
                <w:rFonts w:hint="eastAsia" w:ascii="宋体" w:hAnsi="宋体"/>
                <w:color w:val="000000"/>
                <w:kern w:val="0"/>
                <w:sz w:val="24"/>
              </w:rPr>
              <w:t>)采用HTML5技术，可与微信公众号集成，可在微信中查看和管理报表</w:t>
            </w:r>
          </w:p>
        </w:tc>
      </w:tr>
      <w:tr>
        <w:tblPrEx>
          <w:tblCellMar>
            <w:top w:w="0" w:type="dxa"/>
            <w:left w:w="108" w:type="dxa"/>
            <w:bottom w:w="0" w:type="dxa"/>
            <w:right w:w="108" w:type="dxa"/>
          </w:tblCellMar>
        </w:tblPrEx>
        <w:trPr>
          <w:trHeight w:val="324" w:hRule="atLeast"/>
        </w:trPr>
        <w:tc>
          <w:tcPr>
            <w:tcW w:w="5000" w:type="pct"/>
            <w:gridSpan w:val="3"/>
            <w:tcBorders>
              <w:top w:val="nil"/>
              <w:left w:val="single" w:color="auto" w:sz="8" w:space="0"/>
              <w:bottom w:val="single" w:color="auto" w:sz="8" w:space="0"/>
              <w:right w:val="single" w:color="000000" w:sz="8" w:space="0"/>
            </w:tcBorders>
            <w:shd w:val="clear" w:color="auto" w:fill="auto"/>
            <w:vAlign w:val="center"/>
          </w:tcPr>
          <w:p>
            <w:pPr>
              <w:widowControl/>
              <w:jc w:val="left"/>
              <w:rPr>
                <w:rFonts w:ascii="宋体" w:hAnsi="宋体"/>
                <w:b/>
                <w:bCs/>
                <w:color w:val="000000"/>
                <w:kern w:val="0"/>
                <w:sz w:val="24"/>
              </w:rPr>
            </w:pPr>
            <w:r>
              <w:rPr>
                <w:rFonts w:hint="eastAsia" w:ascii="宋体" w:hAnsi="宋体"/>
                <w:b/>
                <w:bCs/>
                <w:color w:val="000000"/>
                <w:kern w:val="0"/>
                <w:sz w:val="24"/>
              </w:rPr>
              <w:t>(三)档案管理</w:t>
            </w:r>
          </w:p>
        </w:tc>
      </w:tr>
      <w:tr>
        <w:tblPrEx>
          <w:tblCellMar>
            <w:top w:w="0" w:type="dxa"/>
            <w:left w:w="108" w:type="dxa"/>
            <w:bottom w:w="0" w:type="dxa"/>
            <w:right w:w="108" w:type="dxa"/>
          </w:tblCellMar>
        </w:tblPrEx>
        <w:trPr>
          <w:trHeight w:val="187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12</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kern w:val="0"/>
                <w:sz w:val="24"/>
              </w:rPr>
            </w:pPr>
            <w:r>
              <w:rPr>
                <w:rFonts w:hint="eastAsia" w:ascii="宋体" w:hAnsi="宋体"/>
                <w:kern w:val="0"/>
                <w:sz w:val="24"/>
              </w:rPr>
              <w:t>医师档案</w:t>
            </w:r>
          </w:p>
        </w:tc>
        <w:tc>
          <w:tcPr>
            <w:tcW w:w="2711" w:type="pct"/>
            <w:tcBorders>
              <w:top w:val="nil"/>
              <w:left w:val="nil"/>
              <w:bottom w:val="nil"/>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1)可集中维护和查看全院医师档案信息（含外院专家、进修医师、规培医师），包括医师姓名、性别、年龄、在职状态、学历、职称、编制状态等基本信息，以及权限、教育经历、资格证书、执业记录、进修记录、论文、科研课题、监测考核、奖励记录、惩罚记录、社会任务等医师执业信息，此处可根据采购人的需求增加项目，具体项目内容双方协商；</w:t>
            </w:r>
          </w:p>
        </w:tc>
      </w:tr>
      <w:tr>
        <w:tblPrEx>
          <w:tblCellMar>
            <w:top w:w="0" w:type="dxa"/>
            <w:left w:w="108" w:type="dxa"/>
            <w:bottom w:w="0" w:type="dxa"/>
            <w:right w:w="108" w:type="dxa"/>
          </w:tblCellMar>
        </w:tblPrEx>
        <w:trPr>
          <w:trHeight w:val="936"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kern w:val="0"/>
                <w:sz w:val="24"/>
              </w:rPr>
            </w:pPr>
          </w:p>
        </w:tc>
        <w:tc>
          <w:tcPr>
            <w:tcW w:w="2711" w:type="pct"/>
            <w:tcBorders>
              <w:top w:val="nil"/>
              <w:left w:val="nil"/>
              <w:bottom w:val="nil"/>
              <w:right w:val="single" w:color="auto" w:sz="8" w:space="0"/>
            </w:tcBorders>
            <w:shd w:val="clear" w:color="auto" w:fill="auto"/>
            <w:vAlign w:val="center"/>
          </w:tcPr>
          <w:p>
            <w:pPr>
              <w:widowControl/>
            </w:pPr>
            <w:r>
              <w:rPr>
                <w:rFonts w:ascii="宋体" w:hAnsi="宋体"/>
                <w:kern w:val="0"/>
                <w:sz w:val="24"/>
              </w:rPr>
              <w:t>2</w:t>
            </w:r>
            <w:r>
              <w:rPr>
                <w:rFonts w:hint="eastAsia" w:ascii="宋体" w:hAnsi="宋体"/>
                <w:kern w:val="0"/>
                <w:sz w:val="24"/>
              </w:rPr>
              <w:t>)</w:t>
            </w:r>
            <w:r>
              <w:rPr>
                <w:rFonts w:hint="eastAsia" w:ascii="宋体" w:hAnsi="宋体" w:cs="宋体"/>
                <w:b/>
                <w:kern w:val="0"/>
                <w:sz w:val="24"/>
                <w:lang w:eastAsia="zh-CN"/>
              </w:rPr>
              <w:t xml:space="preserve"> </w:t>
            </w:r>
            <w:r>
              <w:rPr>
                <w:rFonts w:hint="eastAsia" w:ascii="宋体" w:hAnsi="宋体" w:eastAsia="宋体" w:cs="Times New Roman"/>
                <w:kern w:val="0"/>
                <w:sz w:val="24"/>
                <w:szCs w:val="22"/>
                <w:lang w:val="en-US" w:eastAsia="zh-CN" w:bidi="ar-SA"/>
              </w:rPr>
              <w:t>提供医师360视图，展示医师基本信息、执业核心指标数据、绩效考核关键指标数据、医疗权限和按时间轴方式显示个人履历等</w:t>
            </w:r>
            <w:r>
              <w:rPr>
                <w:rFonts w:hint="eastAsia"/>
              </w:rPr>
              <w:t>。</w:t>
            </w:r>
          </w:p>
          <w:p>
            <w:pPr>
              <w:pStyle w:val="2"/>
              <w:ind w:firstLine="0" w:firstLineChars="0"/>
            </w:pPr>
            <w:r>
              <w:rPr>
                <w:rFonts w:ascii="宋体" w:hAnsi="宋体"/>
                <w:kern w:val="0"/>
                <w:sz w:val="24"/>
              </w:rPr>
              <w:t>3</w:t>
            </w:r>
            <w:r>
              <w:rPr>
                <w:rFonts w:hint="eastAsia" w:ascii="宋体" w:hAnsi="宋体"/>
                <w:kern w:val="0"/>
                <w:sz w:val="24"/>
              </w:rPr>
              <w:t>)</w:t>
            </w:r>
            <w:r>
              <w:rPr>
                <w:kern w:val="0"/>
                <w:sz w:val="14"/>
                <w:szCs w:val="14"/>
              </w:rPr>
              <w:t> </w:t>
            </w:r>
            <w:r>
              <w:rPr>
                <w:rFonts w:hint="eastAsia" w:ascii="宋体" w:hAnsi="宋体" w:cs="宋体"/>
                <w:b/>
                <w:kern w:val="0"/>
                <w:sz w:val="24"/>
                <w:lang w:eastAsia="zh-CN"/>
              </w:rPr>
              <w:t xml:space="preserve"> </w:t>
            </w:r>
            <w:r>
              <w:rPr>
                <w:rFonts w:hint="eastAsia" w:ascii="宋体" w:hAnsi="宋体"/>
                <w:kern w:val="0"/>
                <w:sz w:val="24"/>
              </w:rPr>
              <w:t>提供科室360视图，展示科室医师构成信息、科室执业核心指标数据、绩效考核关键指标数据、医疗权限等。</w:t>
            </w:r>
          </w:p>
        </w:tc>
      </w:tr>
      <w:tr>
        <w:tblPrEx>
          <w:tblCellMar>
            <w:top w:w="0" w:type="dxa"/>
            <w:left w:w="108" w:type="dxa"/>
            <w:bottom w:w="0" w:type="dxa"/>
            <w:right w:w="108" w:type="dxa"/>
          </w:tblCellMar>
        </w:tblPrEx>
        <w:trPr>
          <w:trHeight w:val="1248"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kern w:val="0"/>
                <w:sz w:val="24"/>
              </w:rPr>
            </w:pPr>
            <w:r>
              <w:rPr>
                <w:rFonts w:ascii="宋体" w:hAnsi="宋体"/>
                <w:kern w:val="0"/>
                <w:sz w:val="24"/>
              </w:rPr>
              <w:t>4</w:t>
            </w:r>
            <w:r>
              <w:rPr>
                <w:rFonts w:hint="eastAsia" w:ascii="宋体" w:hAnsi="宋体"/>
                <w:kern w:val="0"/>
                <w:sz w:val="24"/>
              </w:rPr>
              <w:t>)发表论文数、三四级手术数量、区域医疗中心关键技术数量、不良事件数、投诉纠纷数量等内容从医务管理其他子系统或HIS系统中采集，门诊人次、科室收入、等关键指标从指标管理系统中采集，这两类指标都可根据医院管理需求自行设置；</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kern w:val="0"/>
                <w:sz w:val="24"/>
              </w:rPr>
            </w:pPr>
            <w:r>
              <w:rPr>
                <w:rFonts w:ascii="宋体" w:hAnsi="宋体"/>
                <w:kern w:val="0"/>
                <w:sz w:val="24"/>
              </w:rPr>
              <w:t>5</w:t>
            </w:r>
            <w:r>
              <w:rPr>
                <w:rFonts w:hint="eastAsia" w:ascii="宋体" w:hAnsi="宋体"/>
                <w:kern w:val="0"/>
                <w:sz w:val="24"/>
              </w:rPr>
              <w:t>)可完成医师退休、返聘、进修、社会任职、借调、挂职等信息登记和查看；</w:t>
            </w:r>
          </w:p>
        </w:tc>
      </w:tr>
      <w:tr>
        <w:tblPrEx>
          <w:tblCellMar>
            <w:top w:w="0" w:type="dxa"/>
            <w:left w:w="108" w:type="dxa"/>
            <w:bottom w:w="0" w:type="dxa"/>
            <w:right w:w="108" w:type="dxa"/>
          </w:tblCellMar>
        </w:tblPrEx>
        <w:trPr>
          <w:trHeight w:val="636"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kern w:val="0"/>
                <w:sz w:val="24"/>
              </w:rPr>
            </w:pPr>
            <w:r>
              <w:rPr>
                <w:rFonts w:ascii="宋体" w:hAnsi="宋体"/>
                <w:kern w:val="0"/>
                <w:sz w:val="24"/>
              </w:rPr>
              <w:t>6</w:t>
            </w:r>
            <w:r>
              <w:rPr>
                <w:rFonts w:hint="eastAsia" w:ascii="宋体" w:hAnsi="宋体"/>
                <w:kern w:val="0"/>
                <w:sz w:val="24"/>
              </w:rPr>
              <w:t>)可在医师档案中查看医师授权信息，该信息为动态自动生成，无需手工录入。(该信息可以医生手动录入，职能部门核对和审核。)</w:t>
            </w:r>
          </w:p>
        </w:tc>
      </w:tr>
      <w:tr>
        <w:tblPrEx>
          <w:tblCellMar>
            <w:top w:w="0" w:type="dxa"/>
            <w:left w:w="108" w:type="dxa"/>
            <w:bottom w:w="0" w:type="dxa"/>
            <w:right w:w="108" w:type="dxa"/>
          </w:tblCellMar>
        </w:tblPrEx>
        <w:trPr>
          <w:trHeight w:val="1248"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13</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人力资源分析</w:t>
            </w: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1)</w:t>
            </w:r>
            <w:r>
              <w:rPr>
                <w:color w:val="000000"/>
                <w:kern w:val="0"/>
                <w:sz w:val="14"/>
                <w:szCs w:val="14"/>
              </w:rPr>
              <w:t> </w:t>
            </w:r>
            <w:r>
              <w:rPr>
                <w:rFonts w:hint="eastAsia" w:ascii="宋体" w:hAnsi="宋体"/>
                <w:color w:val="000000"/>
                <w:kern w:val="0"/>
                <w:sz w:val="24"/>
              </w:rPr>
              <w:t>可分院区统计医院人力资源相关情况，包括医疗技术人员数量、副高以上职称人数、论文数、外出进修人数、外聘专家人数、人员性质分布、人员科室分布、医师职称构成、医师年龄构成等；</w:t>
            </w:r>
          </w:p>
        </w:tc>
      </w:tr>
      <w:tr>
        <w:tblPrEx>
          <w:tblCellMar>
            <w:top w:w="0" w:type="dxa"/>
            <w:left w:w="108" w:type="dxa"/>
            <w:bottom w:w="0" w:type="dxa"/>
            <w:right w:w="108" w:type="dxa"/>
          </w:tblCellMar>
        </w:tblPrEx>
        <w:trPr>
          <w:trHeight w:val="636"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2)</w:t>
            </w:r>
            <w:r>
              <w:rPr>
                <w:color w:val="000000"/>
                <w:kern w:val="0"/>
                <w:sz w:val="14"/>
                <w:szCs w:val="14"/>
              </w:rPr>
              <w:t>  </w:t>
            </w:r>
            <w:r>
              <w:rPr>
                <w:rFonts w:hint="eastAsia" w:ascii="宋体" w:hAnsi="宋体"/>
                <w:color w:val="000000"/>
                <w:kern w:val="0"/>
                <w:sz w:val="24"/>
              </w:rPr>
              <w:t>人交资源分析维度可根据医院需求进行配置或定制化开发。</w:t>
            </w:r>
          </w:p>
        </w:tc>
      </w:tr>
      <w:tr>
        <w:tblPrEx>
          <w:tblCellMar>
            <w:top w:w="0" w:type="dxa"/>
            <w:left w:w="108" w:type="dxa"/>
            <w:bottom w:w="0" w:type="dxa"/>
            <w:right w:w="108" w:type="dxa"/>
          </w:tblCellMar>
        </w:tblPrEx>
        <w:trPr>
          <w:trHeight w:val="324" w:hRule="atLeast"/>
        </w:trPr>
        <w:tc>
          <w:tcPr>
            <w:tcW w:w="5000" w:type="pct"/>
            <w:gridSpan w:val="3"/>
            <w:tcBorders>
              <w:top w:val="nil"/>
              <w:left w:val="single" w:color="auto" w:sz="8" w:space="0"/>
              <w:bottom w:val="single" w:color="auto" w:sz="8" w:space="0"/>
              <w:right w:val="single" w:color="000000" w:sz="8" w:space="0"/>
            </w:tcBorders>
            <w:shd w:val="clear" w:color="auto" w:fill="auto"/>
            <w:vAlign w:val="center"/>
          </w:tcPr>
          <w:p>
            <w:pPr>
              <w:widowControl/>
              <w:jc w:val="left"/>
              <w:rPr>
                <w:rFonts w:ascii="宋体" w:hAnsi="宋体"/>
                <w:b/>
                <w:bCs/>
                <w:color w:val="000000"/>
                <w:kern w:val="0"/>
                <w:sz w:val="24"/>
              </w:rPr>
            </w:pPr>
            <w:r>
              <w:rPr>
                <w:rFonts w:hint="eastAsia" w:ascii="宋体" w:hAnsi="宋体"/>
                <w:b/>
                <w:bCs/>
                <w:color w:val="000000"/>
                <w:kern w:val="0"/>
                <w:sz w:val="24"/>
              </w:rPr>
              <w:t>(四)资质管理</w:t>
            </w:r>
          </w:p>
        </w:tc>
      </w:tr>
      <w:tr>
        <w:tblPrEx>
          <w:tblCellMar>
            <w:top w:w="0" w:type="dxa"/>
            <w:left w:w="108" w:type="dxa"/>
            <w:bottom w:w="0" w:type="dxa"/>
            <w:right w:w="108" w:type="dxa"/>
          </w:tblCellMar>
        </w:tblPrEx>
        <w:trPr>
          <w:trHeight w:val="624"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14</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权限目录</w:t>
            </w: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1)新建、修改权限点；包含处方权、手术等级、手术术式、麻醉等级、操作、报告、设备、病理等权限点；</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2)权限点支持按医师职称及执业年资作为限制条件；</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3)手术权限区分主刀、开单与一助；</w:t>
            </w:r>
          </w:p>
        </w:tc>
      </w:tr>
      <w:tr>
        <w:tblPrEx>
          <w:tblCellMar>
            <w:top w:w="0" w:type="dxa"/>
            <w:left w:w="108" w:type="dxa"/>
            <w:bottom w:w="0" w:type="dxa"/>
            <w:right w:w="108" w:type="dxa"/>
          </w:tblCellMar>
        </w:tblPrEx>
        <w:trPr>
          <w:trHeight w:val="936"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4)</w:t>
            </w:r>
            <w:r>
              <w:rPr>
                <w:color w:val="000000"/>
                <w:kern w:val="0"/>
                <w:sz w:val="14"/>
                <w:szCs w:val="14"/>
              </w:rPr>
              <w:t> </w:t>
            </w:r>
            <w:r>
              <w:rPr>
                <w:rFonts w:hint="eastAsia" w:ascii="宋体" w:hAnsi="宋体"/>
                <w:color w:val="000000"/>
                <w:kern w:val="0"/>
                <w:sz w:val="24"/>
              </w:rPr>
              <w:t>在提供常规处方权限的基础上，支持基于药品分类、药品标签的权限点；药品目录与药品标签可自定义，同一药品支持多标签；</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5)为权限组配置专家门诊、互联网医师、处方权、手术权、麻醉权、操作权、报告权（含病理、影像）和特种设备操作权。</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6)支持运行指标的达标情况作为准入条件。</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15</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权限组</w:t>
            </w: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1)新建、修改权限组，可删除未定义权限的权限组；</w:t>
            </w:r>
          </w:p>
        </w:tc>
      </w:tr>
      <w:tr>
        <w:tblPrEx>
          <w:tblCellMar>
            <w:top w:w="0" w:type="dxa"/>
            <w:left w:w="108" w:type="dxa"/>
            <w:bottom w:w="0" w:type="dxa"/>
            <w:right w:w="108" w:type="dxa"/>
          </w:tblCellMar>
        </w:tblPrEx>
        <w:trPr>
          <w:trHeight w:val="636"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2)为权限组配置专家门诊、互联网医师、处方权、手术权、麻醉权、操作权、报告权（含病理、影像）和特种设备操作权。</w:t>
            </w:r>
          </w:p>
        </w:tc>
      </w:tr>
      <w:tr>
        <w:tblPrEx>
          <w:tblCellMar>
            <w:top w:w="0" w:type="dxa"/>
            <w:left w:w="108" w:type="dxa"/>
            <w:bottom w:w="0" w:type="dxa"/>
            <w:right w:w="108" w:type="dxa"/>
          </w:tblCellMar>
        </w:tblPrEx>
        <w:trPr>
          <w:trHeight w:val="624"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16</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权限申请</w:t>
            </w: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1)医师申请专家门诊、互联网医师、处方权、手术权、麻醉权、操作权、报告权（含病理、影像）和特种设备操作权；</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2)支持临时权限申请，临时申请有时限要求，需要在申请时选择有效期，审批人员有权限修改有效期；</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3)支持代理院外专家申请授权，申请时需要登记被代理人；</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4)申请时可选择加载权限组。</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5)对医师权限申请、批量授申请单据进行审批；</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6)医疗权限申请的审批流程可根据医院管理需求重新定义，比如增加授权管理委员会审批环节；</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7)医务部权限审批时可查看医师完整的技术档案；</w:t>
            </w:r>
          </w:p>
        </w:tc>
      </w:tr>
      <w:tr>
        <w:tblPrEx>
          <w:tblCellMar>
            <w:top w:w="0" w:type="dxa"/>
            <w:left w:w="108" w:type="dxa"/>
            <w:bottom w:w="0" w:type="dxa"/>
            <w:right w:w="108" w:type="dxa"/>
          </w:tblCellMar>
        </w:tblPrEx>
        <w:trPr>
          <w:trHeight w:val="636"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8)</w:t>
            </w:r>
            <w:r>
              <w:rPr>
                <w:color w:val="000000"/>
                <w:kern w:val="0"/>
                <w:sz w:val="14"/>
                <w:szCs w:val="14"/>
              </w:rPr>
              <w:t> </w:t>
            </w:r>
            <w:r>
              <w:rPr>
                <w:rFonts w:hint="eastAsia" w:ascii="宋体" w:hAnsi="宋体" w:cs="宋体"/>
                <w:b/>
                <w:color w:val="000000"/>
                <w:kern w:val="0"/>
                <w:sz w:val="24"/>
                <w:lang w:eastAsia="zh-CN"/>
              </w:rPr>
              <w:t xml:space="preserve"> </w:t>
            </w:r>
            <w:r>
              <w:rPr>
                <w:rFonts w:hint="eastAsia" w:ascii="宋体" w:hAnsi="宋体"/>
                <w:color w:val="000000"/>
                <w:kern w:val="0"/>
                <w:sz w:val="24"/>
              </w:rPr>
              <w:t>权限审批时支持查看资质审查结果，准入条件为数据指标时可查看指标详情。</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17</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批量授权</w:t>
            </w: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)支持对多人同时进行授权，每位医师的权限可变更；</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2)申请时可选择加载配置的权限组；</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3)医务部权限审批时可查看医师完整的技术档案。</w:t>
            </w:r>
          </w:p>
        </w:tc>
      </w:tr>
      <w:tr>
        <w:tblPrEx>
          <w:tblCellMar>
            <w:top w:w="0" w:type="dxa"/>
            <w:left w:w="108" w:type="dxa"/>
            <w:bottom w:w="0" w:type="dxa"/>
            <w:right w:w="108" w:type="dxa"/>
          </w:tblCellMar>
        </w:tblPrEx>
        <w:trPr>
          <w:trHeight w:val="624"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18</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权限延期</w:t>
            </w: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1)支持对于设定了到期时限医师进行延期操作，支持延期到指定日期及延期固定月份数两种方式；</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2)支持对多名医师的批量延期操作。</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19</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权限调整</w:t>
            </w: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1)支持抗菌药物等级、手术等级、麻醉等级进行调整；</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2)支持回收特定的权限点；</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3)权限调整时能够输入调整理由及上传附件。</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20</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权限查询</w:t>
            </w: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1)支持按院区查看授权情况；</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2)可按授权时间查看授权情况；</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3)可按处方权、手术权限、麻醉等级、操作、报告、特别设备操作等分；</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4)类查看授权情况；</w:t>
            </w:r>
          </w:p>
        </w:tc>
      </w:tr>
      <w:tr>
        <w:tblPrEx>
          <w:tblCellMar>
            <w:top w:w="0" w:type="dxa"/>
            <w:left w:w="108" w:type="dxa"/>
            <w:bottom w:w="0" w:type="dxa"/>
            <w:right w:w="108" w:type="dxa"/>
          </w:tblCellMar>
        </w:tblPrEx>
        <w:trPr>
          <w:trHeight w:val="936"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5)</w:t>
            </w:r>
            <w:r>
              <w:rPr>
                <w:rFonts w:hint="eastAsia" w:ascii="宋体" w:hAnsi="宋体" w:cs="宋体"/>
                <w:b/>
                <w:color w:val="000000"/>
                <w:kern w:val="0"/>
                <w:sz w:val="24"/>
                <w:lang w:eastAsia="zh-CN"/>
              </w:rPr>
              <w:t xml:space="preserve"> </w:t>
            </w:r>
            <w:r>
              <w:rPr>
                <w:rFonts w:hint="eastAsia" w:ascii="宋体" w:hAnsi="宋体"/>
                <w:color w:val="000000"/>
                <w:kern w:val="0"/>
                <w:sz w:val="24"/>
              </w:rPr>
              <w:t>可查询每一个权限点的授权详情，包括已授权人数、权限次数、批量授权次数、收回权限人数、人员职称构成、权限科室分布；</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6)授权查询结果支持以图形方式展现；</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7)可查询被授权人员详情，包括医师360视图。</w:t>
            </w:r>
          </w:p>
        </w:tc>
      </w:tr>
      <w:tr>
        <w:tblPrEx>
          <w:tblCellMar>
            <w:top w:w="0" w:type="dxa"/>
            <w:left w:w="108" w:type="dxa"/>
            <w:bottom w:w="0" w:type="dxa"/>
            <w:right w:w="108" w:type="dxa"/>
          </w:tblCellMar>
        </w:tblPrEx>
        <w:trPr>
          <w:trHeight w:val="324" w:hRule="atLeast"/>
        </w:trPr>
        <w:tc>
          <w:tcPr>
            <w:tcW w:w="5000" w:type="pct"/>
            <w:gridSpan w:val="3"/>
            <w:tcBorders>
              <w:top w:val="nil"/>
              <w:left w:val="single" w:color="auto" w:sz="8" w:space="0"/>
              <w:bottom w:val="single" w:color="auto" w:sz="8" w:space="0"/>
              <w:right w:val="single" w:color="000000" w:sz="8" w:space="0"/>
            </w:tcBorders>
            <w:shd w:val="clear" w:color="auto" w:fill="auto"/>
            <w:vAlign w:val="center"/>
          </w:tcPr>
          <w:p>
            <w:pPr>
              <w:widowControl/>
              <w:jc w:val="left"/>
              <w:rPr>
                <w:rFonts w:ascii="宋体" w:hAnsi="宋体"/>
                <w:b/>
                <w:bCs/>
                <w:color w:val="000000"/>
                <w:kern w:val="0"/>
                <w:sz w:val="24"/>
              </w:rPr>
            </w:pPr>
            <w:r>
              <w:rPr>
                <w:rFonts w:hint="eastAsia" w:ascii="宋体" w:hAnsi="宋体"/>
                <w:b/>
                <w:bCs/>
                <w:color w:val="000000"/>
                <w:kern w:val="0"/>
                <w:sz w:val="24"/>
              </w:rPr>
              <w:t>(五)</w:t>
            </w:r>
            <w:r>
              <w:rPr>
                <w:rFonts w:hint="eastAsia" w:ascii="宋体" w:hAnsi="宋体"/>
                <w:b/>
                <w:bCs/>
                <w:color w:val="000000"/>
                <w:kern w:val="0"/>
                <w:sz w:val="24"/>
                <w:lang w:val="en-US" w:eastAsia="zh-CN"/>
              </w:rPr>
              <w:t>医疗</w:t>
            </w:r>
            <w:r>
              <w:rPr>
                <w:rFonts w:hint="eastAsia" w:ascii="宋体" w:hAnsi="宋体"/>
                <w:b/>
                <w:bCs/>
                <w:color w:val="000000"/>
                <w:kern w:val="0"/>
                <w:sz w:val="24"/>
              </w:rPr>
              <w:t>技术管理</w:t>
            </w:r>
          </w:p>
        </w:tc>
      </w:tr>
      <w:tr>
        <w:tblPrEx>
          <w:tblCellMar>
            <w:top w:w="0" w:type="dxa"/>
            <w:left w:w="108" w:type="dxa"/>
            <w:bottom w:w="0" w:type="dxa"/>
            <w:right w:w="108" w:type="dxa"/>
          </w:tblCellMar>
        </w:tblPrEx>
        <w:trPr>
          <w:trHeight w:val="624"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21</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技术目录</w:t>
            </w: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1)添加、修改技术名称，包括分类、编码、微创标志、名称、类型、技术级别、状态、技术定性、HIS目录、ICD编码等信息；</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2)</w:t>
            </w:r>
            <w:r>
              <w:rPr>
                <w:rFonts w:hint="eastAsia" w:ascii="宋体" w:hAnsi="宋体" w:cs="宋体"/>
                <w:b/>
                <w:color w:val="000000"/>
                <w:kern w:val="0"/>
                <w:sz w:val="24"/>
                <w:lang w:eastAsia="zh-CN"/>
              </w:rPr>
              <w:t xml:space="preserve"> </w:t>
            </w:r>
            <w:r>
              <w:rPr>
                <w:rFonts w:hint="eastAsia" w:ascii="宋体" w:hAnsi="宋体"/>
                <w:color w:val="000000"/>
                <w:kern w:val="0"/>
                <w:sz w:val="24"/>
              </w:rPr>
              <w:t>支持在技术目录中查看技术360视图；</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3)支持在技术目录中添加病例；</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4)支持在技术目录中添加技术相关的技术团队、开展科室、相关设备、相关技术；</w:t>
            </w:r>
          </w:p>
        </w:tc>
      </w:tr>
      <w:tr>
        <w:tblPrEx>
          <w:tblCellMar>
            <w:top w:w="0" w:type="dxa"/>
            <w:left w:w="108" w:type="dxa"/>
            <w:bottom w:w="0" w:type="dxa"/>
            <w:right w:w="108" w:type="dxa"/>
          </w:tblCellMar>
        </w:tblPrEx>
        <w:trPr>
          <w:trHeight w:val="636"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5)支持在技术目录中查看技术授权情况、阶段评价、运营指标等信息。</w:t>
            </w:r>
          </w:p>
        </w:tc>
      </w:tr>
      <w:tr>
        <w:tblPrEx>
          <w:tblCellMar>
            <w:top w:w="0" w:type="dxa"/>
            <w:left w:w="108" w:type="dxa"/>
            <w:bottom w:w="0" w:type="dxa"/>
            <w:right w:w="108" w:type="dxa"/>
          </w:tblCellMar>
        </w:tblPrEx>
        <w:trPr>
          <w:trHeight w:val="636" w:hRule="atLeast"/>
        </w:trPr>
        <w:tc>
          <w:tcPr>
            <w:tcW w:w="445" w:type="pct"/>
            <w:tcBorders>
              <w:top w:val="nil"/>
              <w:left w:val="single" w:color="auto" w:sz="8" w:space="0"/>
              <w:bottom w:val="single" w:color="000000" w:sz="8" w:space="0"/>
              <w:right w:val="single" w:color="auto" w:sz="8" w:space="0"/>
            </w:tcBorders>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22</w:t>
            </w:r>
          </w:p>
        </w:tc>
        <w:tc>
          <w:tcPr>
            <w:tcW w:w="1843" w:type="pc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eastAsia="宋体"/>
                <w:color w:val="000000"/>
                <w:kern w:val="0"/>
                <w:sz w:val="24"/>
                <w:lang w:val="en-US" w:eastAsia="zh-CN"/>
              </w:rPr>
            </w:pPr>
            <w:r>
              <w:rPr>
                <w:rFonts w:hint="eastAsia" w:ascii="宋体" w:hAnsi="宋体"/>
                <w:kern w:val="0"/>
                <w:sz w:val="24"/>
                <w:lang w:val="en-US" w:eastAsia="zh-CN"/>
              </w:rPr>
              <w:t>资质准入管理</w:t>
            </w:r>
          </w:p>
        </w:tc>
        <w:tc>
          <w:tcPr>
            <w:tcW w:w="2711" w:type="pct"/>
            <w:tcBorders>
              <w:top w:val="nil"/>
              <w:left w:val="nil"/>
              <w:bottom w:val="single" w:color="auto" w:sz="8" w:space="0"/>
              <w:right w:val="single" w:color="auto" w:sz="8" w:space="0"/>
            </w:tcBorders>
            <w:shd w:val="clear" w:color="auto" w:fill="auto"/>
            <w:vAlign w:val="center"/>
          </w:tcPr>
          <w:p>
            <w:pPr>
              <w:widowControl/>
              <w:rPr>
                <w:rFonts w:hint="eastAsia" w:ascii="宋体" w:hAnsi="宋体"/>
                <w:color w:val="000000"/>
                <w:kern w:val="0"/>
                <w:sz w:val="24"/>
                <w:lang w:eastAsia="zh-CN"/>
              </w:rPr>
            </w:pPr>
            <w:r>
              <w:rPr>
                <w:rFonts w:hint="eastAsia" w:ascii="宋体" w:hAnsi="宋体" w:cs="宋体"/>
                <w:b/>
                <w:color w:val="000000"/>
                <w:kern w:val="0"/>
                <w:sz w:val="24"/>
                <w:lang w:eastAsia="zh-CN"/>
              </w:rPr>
              <w:t xml:space="preserve"> </w:t>
            </w:r>
            <w:r>
              <w:rPr>
                <w:rFonts w:hint="eastAsia" w:ascii="宋体" w:hAnsi="宋体"/>
                <w:color w:val="000000"/>
                <w:kern w:val="0"/>
                <w:sz w:val="24"/>
                <w:lang w:val="en-US" w:eastAsia="zh-CN"/>
              </w:rPr>
              <w:t>手术准入(</w:t>
            </w:r>
            <w:r>
              <w:rPr>
                <w:rFonts w:hint="eastAsia" w:ascii="宋体" w:hAnsi="宋体"/>
                <w:color w:val="000000"/>
                <w:kern w:val="0"/>
                <w:sz w:val="24"/>
                <w:lang w:eastAsia="zh-CN"/>
              </w:rPr>
              <w:t>一级手术、二级手术、三级手术</w:t>
            </w:r>
          </w:p>
          <w:p>
            <w:pPr>
              <w:widowControl/>
              <w:rPr>
                <w:rFonts w:hint="eastAsia" w:ascii="宋体" w:hAnsi="宋体"/>
                <w:color w:val="000000"/>
                <w:kern w:val="0"/>
                <w:sz w:val="24"/>
                <w:lang w:val="en-US" w:eastAsia="zh-CN"/>
              </w:rPr>
            </w:pPr>
            <w:r>
              <w:rPr>
                <w:rFonts w:hint="eastAsia" w:ascii="宋体" w:hAnsi="宋体"/>
                <w:color w:val="000000"/>
                <w:kern w:val="0"/>
                <w:sz w:val="24"/>
                <w:lang w:eastAsia="zh-CN"/>
              </w:rPr>
              <w:t>、四级手术</w:t>
            </w:r>
            <w:r>
              <w:rPr>
                <w:rFonts w:hint="eastAsia" w:ascii="宋体" w:hAnsi="宋体"/>
                <w:color w:val="000000"/>
                <w:kern w:val="0"/>
                <w:sz w:val="24"/>
                <w:lang w:val="en-US" w:eastAsia="zh-CN"/>
              </w:rPr>
              <w:t>)的资质准入管理。</w:t>
            </w:r>
          </w:p>
          <w:p>
            <w:pPr>
              <w:pStyle w:val="2"/>
              <w:ind w:left="0" w:leftChars="0" w:firstLine="0" w:firstLineChars="0"/>
              <w:rPr>
                <w:rFonts w:hint="default"/>
                <w:lang w:val="en-US" w:eastAsia="zh-CN"/>
              </w:rPr>
            </w:pPr>
            <w:r>
              <w:rPr>
                <w:rFonts w:hint="eastAsia" w:ascii="宋体" w:hAnsi="宋体" w:eastAsia="宋体" w:cs="宋体"/>
                <w:b/>
                <w:kern w:val="0"/>
                <w:sz w:val="24"/>
                <w:lang w:eastAsia="zh-CN"/>
              </w:rPr>
              <w:t xml:space="preserve"> </w:t>
            </w:r>
            <w:r>
              <w:rPr>
                <w:rFonts w:hint="eastAsia" w:ascii="宋体" w:hAnsi="宋体" w:eastAsia="宋体" w:cs="Times New Roman"/>
                <w:color w:val="000000"/>
                <w:kern w:val="0"/>
                <w:sz w:val="24"/>
                <w:szCs w:val="22"/>
                <w:lang w:val="en-US" w:eastAsia="zh-CN" w:bidi="ar-SA"/>
              </w:rPr>
              <w:t>医疗技术的资质准入管理。</w:t>
            </w:r>
          </w:p>
        </w:tc>
      </w:tr>
      <w:tr>
        <w:tblPrEx>
          <w:tblCellMar>
            <w:top w:w="0" w:type="dxa"/>
            <w:left w:w="108" w:type="dxa"/>
            <w:bottom w:w="0" w:type="dxa"/>
            <w:right w:w="108" w:type="dxa"/>
          </w:tblCellMar>
        </w:tblPrEx>
        <w:trPr>
          <w:trHeight w:val="636" w:hRule="atLeast"/>
        </w:trPr>
        <w:tc>
          <w:tcPr>
            <w:tcW w:w="445" w:type="pct"/>
            <w:tcBorders>
              <w:top w:val="nil"/>
              <w:left w:val="single" w:color="auto" w:sz="8" w:space="0"/>
              <w:bottom w:val="single" w:color="000000" w:sz="8" w:space="0"/>
              <w:right w:val="single" w:color="auto" w:sz="8" w:space="0"/>
            </w:tcBorders>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23</w:t>
            </w:r>
          </w:p>
        </w:tc>
        <w:tc>
          <w:tcPr>
            <w:tcW w:w="1843" w:type="pc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kern w:val="0"/>
                <w:sz w:val="24"/>
                <w:lang w:val="en-US" w:eastAsia="zh-CN"/>
              </w:rPr>
            </w:pPr>
            <w:r>
              <w:rPr>
                <w:rFonts w:hint="eastAsia" w:ascii="宋体" w:hAnsi="宋体"/>
                <w:kern w:val="0"/>
                <w:sz w:val="24"/>
                <w:lang w:val="en-US" w:eastAsia="zh-CN"/>
              </w:rPr>
              <w:t>手术分类管理</w:t>
            </w:r>
          </w:p>
        </w:tc>
        <w:tc>
          <w:tcPr>
            <w:tcW w:w="2711" w:type="pct"/>
            <w:tcBorders>
              <w:top w:val="nil"/>
              <w:left w:val="nil"/>
              <w:bottom w:val="single" w:color="auto" w:sz="8" w:space="0"/>
              <w:right w:val="single" w:color="auto" w:sz="8" w:space="0"/>
            </w:tcBorders>
            <w:shd w:val="clear" w:color="auto" w:fill="auto"/>
            <w:vAlign w:val="center"/>
          </w:tcPr>
          <w:p>
            <w:pPr>
              <w:widowControl/>
              <w:rPr>
                <w:rFonts w:hint="eastAsia" w:ascii="宋体" w:hAnsi="宋体"/>
                <w:color w:val="000000"/>
                <w:kern w:val="0"/>
                <w:sz w:val="24"/>
                <w:lang w:val="en-US" w:eastAsia="zh-CN"/>
              </w:rPr>
            </w:pPr>
            <w:r>
              <w:rPr>
                <w:rFonts w:hint="eastAsia" w:ascii="宋体" w:hAnsi="宋体"/>
                <w:color w:val="000000"/>
                <w:kern w:val="0"/>
                <w:sz w:val="24"/>
              </w:rPr>
              <w:t>1)</w:t>
            </w:r>
            <w:r>
              <w:rPr>
                <w:rFonts w:hint="eastAsia" w:ascii="宋体" w:hAnsi="宋体"/>
                <w:color w:val="000000"/>
                <w:kern w:val="0"/>
                <w:sz w:val="24"/>
                <w:lang w:val="en-US" w:eastAsia="zh-CN"/>
              </w:rPr>
              <w:t>手术分类中支持按照手术权限、介入治疗、诊断性操作、治疗性操作、高风险手术</w:t>
            </w:r>
          </w:p>
          <w:p>
            <w:pPr>
              <w:widowControl/>
              <w:rPr>
                <w:rFonts w:hint="eastAsia" w:ascii="宋体" w:hAnsi="宋体" w:eastAsia="宋体" w:cs="Times New Roman"/>
                <w:color w:val="000000"/>
                <w:kern w:val="0"/>
                <w:sz w:val="24"/>
                <w:szCs w:val="22"/>
                <w:lang w:val="en-US" w:eastAsia="zh-CN" w:bidi="ar-SA"/>
              </w:rPr>
            </w:pPr>
            <w:r>
              <w:rPr>
                <w:rFonts w:hint="eastAsia" w:ascii="宋体" w:hAnsi="宋体"/>
                <w:color w:val="000000"/>
                <w:kern w:val="0"/>
                <w:sz w:val="24"/>
                <w:lang w:val="en-US" w:eastAsia="zh-CN"/>
              </w:rPr>
              <w:t>2</w:t>
            </w:r>
            <w:r>
              <w:rPr>
                <w:rFonts w:hint="eastAsia" w:ascii="宋体" w:hAnsi="宋体"/>
                <w:color w:val="000000"/>
                <w:kern w:val="0"/>
                <w:sz w:val="24"/>
              </w:rPr>
              <w:t>)</w:t>
            </w:r>
            <w:r>
              <w:rPr>
                <w:rFonts w:hint="eastAsia" w:ascii="宋体" w:hAnsi="宋体" w:cs="宋体"/>
                <w:b/>
                <w:color w:val="000000"/>
                <w:kern w:val="0"/>
                <w:sz w:val="24"/>
                <w:lang w:eastAsia="zh-CN"/>
              </w:rPr>
              <w:t xml:space="preserve"> </w:t>
            </w:r>
            <w:r>
              <w:rPr>
                <w:rFonts w:hint="eastAsia" w:ascii="宋体" w:hAnsi="宋体"/>
                <w:color w:val="000000"/>
                <w:kern w:val="0"/>
                <w:sz w:val="24"/>
                <w:lang w:val="en-US" w:eastAsia="zh-CN"/>
              </w:rPr>
              <w:t>手术授权管理其中包含申请管理、职称关联、审批流程、批量创建、手术追踪管理、手术项目成熟管理、满足项目查看统计、满足科室查看统计、满足按人查看统计、满足年度手术开展情况的统计汇总、满足按人统计开展情况、手术再授权管理、按人统计每年开展手术汇总、进行再授权或降级处理。</w:t>
            </w:r>
          </w:p>
        </w:tc>
      </w:tr>
      <w:tr>
        <w:tblPrEx>
          <w:tblCellMar>
            <w:top w:w="0" w:type="dxa"/>
            <w:left w:w="108" w:type="dxa"/>
            <w:bottom w:w="0" w:type="dxa"/>
            <w:right w:w="108" w:type="dxa"/>
          </w:tblCellMar>
        </w:tblPrEx>
        <w:trPr>
          <w:trHeight w:val="948" w:hRule="atLeast"/>
        </w:trPr>
        <w:tc>
          <w:tcPr>
            <w:tcW w:w="44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24</w:t>
            </w:r>
          </w:p>
        </w:tc>
        <w:tc>
          <w:tcPr>
            <w:tcW w:w="184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kern w:val="0"/>
                <w:sz w:val="24"/>
              </w:rPr>
            </w:pPr>
            <w:r>
              <w:rPr>
                <w:rFonts w:hint="eastAsia" w:ascii="宋体" w:hAnsi="宋体"/>
                <w:kern w:val="0"/>
                <w:sz w:val="24"/>
              </w:rPr>
              <w:t>新技术新项目申请</w:t>
            </w:r>
          </w:p>
        </w:tc>
        <w:tc>
          <w:tcPr>
            <w:tcW w:w="2711" w:type="pct"/>
            <w:tcBorders>
              <w:top w:val="nil"/>
              <w:left w:val="nil"/>
              <w:bottom w:val="single" w:color="auto" w:sz="8" w:space="0"/>
              <w:right w:val="single" w:color="auto" w:sz="8" w:space="0"/>
            </w:tcBorders>
            <w:shd w:val="clear" w:color="auto" w:fill="auto"/>
            <w:vAlign w:val="center"/>
          </w:tcPr>
          <w:p>
            <w:pPr>
              <w:pStyle w:val="2"/>
              <w:ind w:firstLine="0" w:firstLineChars="0"/>
            </w:pPr>
            <w:r>
              <w:rPr>
                <w:rFonts w:hint="eastAsia" w:ascii="宋体" w:hAnsi="宋体"/>
                <w:kern w:val="0"/>
                <w:sz w:val="24"/>
              </w:rPr>
              <w:t>新增、修改或删除新技术申请单，内容包括基本情况、适应症与禁忌症、设备、相关技术、目的与意义、实施方案、科室课题、附件、附加信息。</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25</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kern w:val="0"/>
                <w:sz w:val="24"/>
              </w:rPr>
            </w:pPr>
            <w:r>
              <w:rPr>
                <w:rFonts w:hint="eastAsia" w:ascii="宋体" w:hAnsi="宋体"/>
                <w:kern w:val="0"/>
                <w:sz w:val="24"/>
              </w:rPr>
              <w:t>技术审批</w:t>
            </w:r>
          </w:p>
        </w:tc>
        <w:tc>
          <w:tcPr>
            <w:tcW w:w="2711" w:type="pct"/>
            <w:tcBorders>
              <w:top w:val="nil"/>
              <w:left w:val="nil"/>
              <w:bottom w:val="nil"/>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1)支持技术新授权、再授权申请单进行审批；</w:t>
            </w:r>
          </w:p>
        </w:tc>
      </w:tr>
      <w:tr>
        <w:tblPrEx>
          <w:tblCellMar>
            <w:top w:w="0" w:type="dxa"/>
            <w:left w:w="108" w:type="dxa"/>
            <w:bottom w:w="0" w:type="dxa"/>
            <w:right w:w="108" w:type="dxa"/>
          </w:tblCellMar>
        </w:tblPrEx>
        <w:trPr>
          <w:trHeight w:val="948"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2)支持科室内部进行申请人资质与技术合理性初步评估后，医务部对各科室提交的申请单进行审批、驳回、提交质量委员会或伦理委员核查，系统及时反馈相关信息告知申请科室。</w:t>
            </w:r>
          </w:p>
        </w:tc>
      </w:tr>
      <w:tr>
        <w:tblPrEx>
          <w:tblCellMar>
            <w:top w:w="0" w:type="dxa"/>
            <w:left w:w="108" w:type="dxa"/>
            <w:bottom w:w="0" w:type="dxa"/>
            <w:right w:w="108" w:type="dxa"/>
          </w:tblCellMar>
        </w:tblPrEx>
        <w:trPr>
          <w:trHeight w:val="636" w:hRule="atLeast"/>
        </w:trPr>
        <w:tc>
          <w:tcPr>
            <w:tcW w:w="44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26</w:t>
            </w:r>
          </w:p>
        </w:tc>
        <w:tc>
          <w:tcPr>
            <w:tcW w:w="184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kern w:val="0"/>
                <w:sz w:val="24"/>
              </w:rPr>
            </w:pPr>
            <w:r>
              <w:rPr>
                <w:rFonts w:hint="eastAsia" w:ascii="宋体" w:hAnsi="宋体"/>
                <w:kern w:val="0"/>
                <w:sz w:val="24"/>
              </w:rPr>
              <w:t>技术应用情况</w:t>
            </w: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1)为特定技术登记团队、开展科室、设备、相关技术、授权情况、开展病例、阶段评价等信息。</w:t>
            </w:r>
          </w:p>
        </w:tc>
      </w:tr>
      <w:tr>
        <w:tblPrEx>
          <w:tblCellMar>
            <w:top w:w="0" w:type="dxa"/>
            <w:left w:w="108" w:type="dxa"/>
            <w:bottom w:w="0" w:type="dxa"/>
            <w:right w:w="108" w:type="dxa"/>
          </w:tblCellMar>
        </w:tblPrEx>
        <w:trPr>
          <w:trHeight w:val="624"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27</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kern w:val="0"/>
                <w:sz w:val="24"/>
              </w:rPr>
            </w:pPr>
            <w:r>
              <w:rPr>
                <w:rFonts w:hint="eastAsia" w:ascii="宋体" w:hAnsi="宋体"/>
                <w:kern w:val="0"/>
                <w:sz w:val="24"/>
              </w:rPr>
              <w:t>阶段评价</w:t>
            </w:r>
          </w:p>
        </w:tc>
        <w:tc>
          <w:tcPr>
            <w:tcW w:w="2711" w:type="pct"/>
            <w:tcBorders>
              <w:top w:val="nil"/>
              <w:left w:val="nil"/>
              <w:bottom w:val="nil"/>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1)根据国家相关规定，支持定期（每年）对新技术试运行情况进行评价；</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kern w:val="0"/>
                <w:sz w:val="24"/>
              </w:rPr>
            </w:pPr>
            <w:r>
              <w:rPr>
                <w:rFonts w:hint="eastAsia" w:ascii="宋体" w:hAnsi="宋体"/>
                <w:kern w:val="0"/>
                <w:sz w:val="24"/>
              </w:rPr>
              <w:t>2)支持对评价报告进行审核；</w:t>
            </w:r>
          </w:p>
        </w:tc>
      </w:tr>
      <w:tr>
        <w:tblPrEx>
          <w:tblCellMar>
            <w:top w:w="0" w:type="dxa"/>
            <w:left w:w="108" w:type="dxa"/>
            <w:bottom w:w="0" w:type="dxa"/>
            <w:right w:w="108" w:type="dxa"/>
          </w:tblCellMar>
        </w:tblPrEx>
        <w:trPr>
          <w:trHeight w:val="948"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pPr>
            <w:r>
              <w:rPr>
                <w:rFonts w:ascii="宋体" w:hAnsi="宋体"/>
                <w:kern w:val="0"/>
                <w:sz w:val="24"/>
              </w:rPr>
              <w:t>3</w:t>
            </w:r>
            <w:r>
              <w:rPr>
                <w:rFonts w:hint="eastAsia" w:ascii="宋体" w:hAnsi="宋体"/>
                <w:kern w:val="0"/>
                <w:sz w:val="24"/>
              </w:rPr>
              <w:t>)</w:t>
            </w:r>
            <w:r>
              <w:rPr>
                <w:rFonts w:hint="eastAsia" w:ascii="宋体" w:hAnsi="宋体" w:eastAsia="宋体" w:cs="Times New Roman"/>
                <w:kern w:val="0"/>
                <w:sz w:val="24"/>
              </w:rPr>
              <w:t>阶段估计中可以展示技术相关的指标数据，用于评价结论；开展例数的病例信息可以与HIS系统病例信息进行比对，若已开展技术却没有病例信息可以填写特定表格。用于技术评价的指标可自定义</w:t>
            </w:r>
            <w:r>
              <w:rPr>
                <w:rFonts w:hint="eastAsia"/>
              </w:rPr>
              <w:t>。</w:t>
            </w:r>
          </w:p>
          <w:p>
            <w:pPr>
              <w:pStyle w:val="2"/>
              <w:ind w:firstLine="0" w:firstLineChars="0"/>
            </w:pPr>
            <w:r>
              <w:rPr>
                <w:rFonts w:ascii="宋体" w:hAnsi="宋体"/>
                <w:kern w:val="0"/>
                <w:sz w:val="24"/>
              </w:rPr>
              <w:t>4</w:t>
            </w:r>
            <w:r>
              <w:rPr>
                <w:rFonts w:hint="eastAsia" w:ascii="宋体" w:hAnsi="宋体"/>
                <w:kern w:val="0"/>
                <w:sz w:val="24"/>
              </w:rPr>
              <w:t>)</w:t>
            </w:r>
            <w:r>
              <w:rPr>
                <w:rFonts w:hint="eastAsia" w:ascii="宋体" w:hAnsi="宋体" w:eastAsia="宋体" w:cs="Times New Roman"/>
                <w:kern w:val="0"/>
                <w:sz w:val="24"/>
                <w:szCs w:val="22"/>
                <w:lang w:val="en-US" w:eastAsia="zh-CN" w:bidi="ar-SA"/>
              </w:rPr>
              <w:t>新技术新项目延期、暂停、终止</w:t>
            </w:r>
            <w:r>
              <w:rPr>
                <w:rFonts w:hint="eastAsia"/>
              </w:rPr>
              <w:t>。</w:t>
            </w:r>
          </w:p>
        </w:tc>
      </w:tr>
      <w:tr>
        <w:tblPrEx>
          <w:tblCellMar>
            <w:top w:w="0" w:type="dxa"/>
            <w:left w:w="108" w:type="dxa"/>
            <w:bottom w:w="0" w:type="dxa"/>
            <w:right w:w="108" w:type="dxa"/>
          </w:tblCellMar>
        </w:tblPrEx>
        <w:trPr>
          <w:trHeight w:val="624"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28</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新技术转常规</w:t>
            </w: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1)支持对经审核能够纳入常规管理的新技术，由新技术负责人通过系统发起新技术转常规申请；</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2)支持通过科室评估、医务部审核，专家审核与评定等审核流程；</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3)支持管理部门根据评定结果，将该技术纳入常规技术管理或对该技术进行延期试运行管理；</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4)新技术转常规审批环境可查阅技术申请、阶段评价报告等信息，给出是否同意转为常规技术管理的意见；</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5)新技术转常规审批通过后进要进入医疗授权环节进行授权。</w:t>
            </w:r>
          </w:p>
        </w:tc>
      </w:tr>
      <w:tr>
        <w:tblPrEx>
          <w:tblCellMar>
            <w:top w:w="0" w:type="dxa"/>
            <w:left w:w="108" w:type="dxa"/>
            <w:bottom w:w="0" w:type="dxa"/>
            <w:right w:w="108" w:type="dxa"/>
          </w:tblCellMar>
        </w:tblPrEx>
        <w:trPr>
          <w:trHeight w:val="624"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29</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技术对码</w:t>
            </w: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1)</w:t>
            </w:r>
            <w:r>
              <w:rPr>
                <w:rFonts w:hint="eastAsia" w:ascii="宋体" w:hAnsi="宋体" w:cs="宋体"/>
                <w:b/>
                <w:color w:val="000000"/>
                <w:kern w:val="0"/>
                <w:sz w:val="24"/>
                <w:lang w:eastAsia="zh-CN"/>
              </w:rPr>
              <w:t xml:space="preserve"> </w:t>
            </w:r>
            <w:r>
              <w:rPr>
                <w:rFonts w:hint="eastAsia" w:ascii="宋体" w:hAnsi="宋体"/>
                <w:color w:val="000000"/>
                <w:kern w:val="0"/>
                <w:sz w:val="24"/>
              </w:rPr>
              <w:t>技术目录可与医院HIS系统或集成平台系统进行对码，支持ICD编码、诊疗项目、收费项目的图形方式对码；</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eastAsia="等线"/>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2)支持按技术类型、编码进行检索；</w:t>
            </w:r>
          </w:p>
        </w:tc>
      </w:tr>
      <w:tr>
        <w:tblPrEx>
          <w:tblCellMar>
            <w:top w:w="0" w:type="dxa"/>
            <w:left w:w="108" w:type="dxa"/>
            <w:bottom w:w="0" w:type="dxa"/>
            <w:right w:w="108" w:type="dxa"/>
          </w:tblCellMar>
        </w:tblPrEx>
        <w:trPr>
          <w:trHeight w:val="324" w:hRule="atLeast"/>
        </w:trPr>
        <w:tc>
          <w:tcPr>
            <w:tcW w:w="5000" w:type="pct"/>
            <w:gridSpan w:val="3"/>
            <w:tcBorders>
              <w:top w:val="nil"/>
              <w:left w:val="single" w:color="auto" w:sz="8" w:space="0"/>
              <w:bottom w:val="single" w:color="auto" w:sz="8" w:space="0"/>
              <w:right w:val="single" w:color="000000" w:sz="8" w:space="0"/>
            </w:tcBorders>
            <w:shd w:val="clear" w:color="auto" w:fill="auto"/>
            <w:vAlign w:val="center"/>
          </w:tcPr>
          <w:p>
            <w:pPr>
              <w:widowControl/>
              <w:rPr>
                <w:rFonts w:ascii="等线" w:hAnsi="等线" w:eastAsia="等线"/>
                <w:b/>
                <w:bCs/>
                <w:color w:val="000000"/>
                <w:kern w:val="0"/>
                <w:sz w:val="24"/>
              </w:rPr>
            </w:pPr>
            <w:r>
              <w:rPr>
                <w:rFonts w:hint="eastAsia" w:ascii="宋体" w:hAnsi="宋体"/>
                <w:b/>
                <w:bCs/>
                <w:color w:val="000000"/>
                <w:kern w:val="0"/>
                <w:sz w:val="24"/>
              </w:rPr>
              <w:t>(</w:t>
            </w:r>
            <w:r>
              <w:rPr>
                <w:rFonts w:hint="eastAsia" w:ascii="宋体" w:hAnsi="宋体"/>
                <w:b/>
                <w:bCs/>
                <w:color w:val="000000"/>
                <w:kern w:val="0"/>
                <w:sz w:val="24"/>
                <w:lang w:val="en-US" w:eastAsia="zh-CN"/>
              </w:rPr>
              <w:t>六</w:t>
            </w:r>
            <w:r>
              <w:rPr>
                <w:rFonts w:hint="eastAsia" w:ascii="宋体" w:hAnsi="宋体"/>
                <w:b/>
                <w:bCs/>
                <w:color w:val="000000"/>
                <w:kern w:val="0"/>
                <w:sz w:val="24"/>
              </w:rPr>
              <w:t>)医务移动端</w:t>
            </w:r>
          </w:p>
        </w:tc>
      </w:tr>
      <w:tr>
        <w:tblPrEx>
          <w:tblCellMar>
            <w:top w:w="0" w:type="dxa"/>
            <w:left w:w="108" w:type="dxa"/>
            <w:bottom w:w="0" w:type="dxa"/>
            <w:right w:w="108" w:type="dxa"/>
          </w:tblCellMar>
        </w:tblPrEx>
        <w:trPr>
          <w:trHeight w:val="948" w:hRule="atLeast"/>
        </w:trPr>
        <w:tc>
          <w:tcPr>
            <w:tcW w:w="44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30</w:t>
            </w:r>
          </w:p>
        </w:tc>
        <w:tc>
          <w:tcPr>
            <w:tcW w:w="184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审批管理</w:t>
            </w: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s="宋体"/>
                <w:b/>
                <w:color w:val="000000"/>
                <w:kern w:val="0"/>
                <w:sz w:val="24"/>
                <w:lang w:eastAsia="zh-CN"/>
              </w:rPr>
              <w:t xml:space="preserve"> </w:t>
            </w:r>
            <w:r>
              <w:rPr>
                <w:rFonts w:hint="eastAsia" w:ascii="宋体" w:hAnsi="宋体"/>
                <w:color w:val="000000"/>
                <w:kern w:val="0"/>
                <w:sz w:val="24"/>
              </w:rPr>
              <w:t>在移动端完成任务审批、权限申请等任务办理，支持移动端数据填报及督查表单执行与查看，可与微信、OA、钉钉等进行集成。</w:t>
            </w:r>
          </w:p>
        </w:tc>
      </w:tr>
      <w:tr>
        <w:tblPrEx>
          <w:tblCellMar>
            <w:top w:w="0" w:type="dxa"/>
            <w:left w:w="108" w:type="dxa"/>
            <w:bottom w:w="0" w:type="dxa"/>
            <w:right w:w="108" w:type="dxa"/>
          </w:tblCellMar>
        </w:tblPrEx>
        <w:trPr>
          <w:trHeight w:val="324" w:hRule="atLeast"/>
        </w:trPr>
        <w:tc>
          <w:tcPr>
            <w:tcW w:w="44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31</w:t>
            </w:r>
          </w:p>
        </w:tc>
        <w:tc>
          <w:tcPr>
            <w:tcW w:w="184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医师档案</w:t>
            </w: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s="宋体"/>
                <w:b/>
                <w:color w:val="000000"/>
                <w:kern w:val="0"/>
                <w:sz w:val="24"/>
                <w:lang w:eastAsia="zh-CN"/>
              </w:rPr>
              <w:t xml:space="preserve"> </w:t>
            </w:r>
            <w:r>
              <w:rPr>
                <w:rFonts w:hint="eastAsia" w:ascii="宋体" w:hAnsi="宋体"/>
                <w:color w:val="000000"/>
                <w:kern w:val="0"/>
                <w:sz w:val="24"/>
              </w:rPr>
              <w:t>支持移动端查看医师档案</w:t>
            </w:r>
          </w:p>
        </w:tc>
      </w:tr>
      <w:tr>
        <w:tblPrEx>
          <w:tblCellMar>
            <w:top w:w="0" w:type="dxa"/>
            <w:left w:w="108" w:type="dxa"/>
            <w:bottom w:w="0" w:type="dxa"/>
            <w:right w:w="108" w:type="dxa"/>
          </w:tblCellMar>
        </w:tblPrEx>
        <w:trPr>
          <w:trHeight w:val="324" w:hRule="atLeast"/>
        </w:trPr>
        <w:tc>
          <w:tcPr>
            <w:tcW w:w="445" w:type="pct"/>
            <w:tcBorders>
              <w:top w:val="nil"/>
              <w:left w:val="single" w:color="auto" w:sz="8" w:space="0"/>
              <w:bottom w:val="single" w:color="auto" w:sz="8" w:space="0"/>
              <w:right w:val="nil"/>
            </w:tcBorders>
            <w:shd w:val="clear" w:color="auto" w:fill="auto"/>
            <w:vAlign w:val="center"/>
          </w:tcPr>
          <w:p>
            <w:pPr>
              <w:widowControl/>
              <w:jc w:val="center"/>
              <w:rPr>
                <w:rFonts w:hint="default" w:eastAsia="等线"/>
                <w:b/>
                <w:bCs/>
                <w:color w:val="000000"/>
                <w:kern w:val="0"/>
                <w:sz w:val="24"/>
                <w:lang w:val="en-US" w:eastAsia="zh-CN"/>
              </w:rPr>
            </w:pPr>
            <w:r>
              <w:rPr>
                <w:rFonts w:hint="eastAsia" w:eastAsia="等线"/>
                <w:b/>
                <w:bCs/>
                <w:color w:val="000000"/>
                <w:kern w:val="0"/>
                <w:sz w:val="24"/>
                <w:lang w:val="en-US" w:eastAsia="zh-CN"/>
              </w:rPr>
              <w:t>32</w:t>
            </w:r>
          </w:p>
        </w:tc>
        <w:tc>
          <w:tcPr>
            <w:tcW w:w="184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考核结果</w:t>
            </w: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查看各项考核指标情况及结果</w:t>
            </w:r>
          </w:p>
        </w:tc>
      </w:tr>
      <w:tr>
        <w:tblPrEx>
          <w:tblCellMar>
            <w:top w:w="0" w:type="dxa"/>
            <w:left w:w="108" w:type="dxa"/>
            <w:bottom w:w="0" w:type="dxa"/>
            <w:right w:w="108" w:type="dxa"/>
          </w:tblCellMar>
        </w:tblPrEx>
        <w:trPr>
          <w:trHeight w:val="324" w:hRule="atLeast"/>
        </w:trPr>
        <w:tc>
          <w:tcPr>
            <w:tcW w:w="44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等线"/>
                <w:b/>
                <w:bCs/>
                <w:color w:val="000000"/>
                <w:kern w:val="0"/>
                <w:sz w:val="24"/>
                <w:lang w:eastAsia="zh-CN"/>
              </w:rPr>
            </w:pPr>
            <w:r>
              <w:rPr>
                <w:rFonts w:eastAsia="等线"/>
                <w:b/>
                <w:bCs/>
                <w:color w:val="000000"/>
                <w:kern w:val="0"/>
                <w:sz w:val="24"/>
              </w:rPr>
              <w:t>3</w:t>
            </w:r>
            <w:r>
              <w:rPr>
                <w:rFonts w:hint="eastAsia" w:eastAsia="等线"/>
                <w:b/>
                <w:bCs/>
                <w:color w:val="000000"/>
                <w:kern w:val="0"/>
                <w:sz w:val="24"/>
                <w:lang w:val="en-US" w:eastAsia="zh-CN"/>
              </w:rPr>
              <w:t>3</w:t>
            </w:r>
          </w:p>
        </w:tc>
        <w:tc>
          <w:tcPr>
            <w:tcW w:w="184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数据分析</w:t>
            </w: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查看数据分析报表</w:t>
            </w:r>
          </w:p>
        </w:tc>
      </w:tr>
      <w:tr>
        <w:tblPrEx>
          <w:tblCellMar>
            <w:top w:w="0" w:type="dxa"/>
            <w:left w:w="108" w:type="dxa"/>
            <w:bottom w:w="0" w:type="dxa"/>
            <w:right w:w="108" w:type="dxa"/>
          </w:tblCellMar>
        </w:tblPrEx>
        <w:trPr>
          <w:trHeight w:val="324" w:hRule="atLeast"/>
        </w:trPr>
        <w:tc>
          <w:tcPr>
            <w:tcW w:w="44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等线"/>
                <w:b/>
                <w:bCs/>
                <w:color w:val="000000"/>
                <w:kern w:val="0"/>
                <w:sz w:val="24"/>
                <w:lang w:val="en-US" w:eastAsia="zh-CN"/>
              </w:rPr>
            </w:pPr>
            <w:r>
              <w:rPr>
                <w:rFonts w:eastAsia="等线"/>
                <w:b/>
                <w:bCs/>
                <w:color w:val="000000"/>
                <w:kern w:val="0"/>
                <w:sz w:val="24"/>
              </w:rPr>
              <w:t>3</w:t>
            </w:r>
            <w:r>
              <w:rPr>
                <w:rFonts w:hint="eastAsia" w:eastAsia="等线"/>
                <w:b/>
                <w:bCs/>
                <w:color w:val="000000"/>
                <w:kern w:val="0"/>
                <w:sz w:val="24"/>
                <w:lang w:val="en-US" w:eastAsia="zh-CN"/>
              </w:rPr>
              <w:t>4</w:t>
            </w:r>
          </w:p>
        </w:tc>
        <w:tc>
          <w:tcPr>
            <w:tcW w:w="184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 xml:space="preserve">督查移动端 </w:t>
            </w: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支持移动端数据填报及督查表单执行与查看</w:t>
            </w:r>
          </w:p>
        </w:tc>
      </w:tr>
      <w:tr>
        <w:tblPrEx>
          <w:tblCellMar>
            <w:top w:w="0" w:type="dxa"/>
            <w:left w:w="108" w:type="dxa"/>
            <w:bottom w:w="0" w:type="dxa"/>
            <w:right w:w="108" w:type="dxa"/>
          </w:tblCellMar>
        </w:tblPrEx>
        <w:trPr>
          <w:trHeight w:val="324" w:hRule="atLeast"/>
        </w:trPr>
        <w:tc>
          <w:tcPr>
            <w:tcW w:w="5000" w:type="pct"/>
            <w:gridSpan w:val="3"/>
            <w:tcBorders>
              <w:top w:val="nil"/>
              <w:left w:val="single" w:color="auto" w:sz="8" w:space="0"/>
              <w:bottom w:val="single" w:color="auto" w:sz="8" w:space="0"/>
              <w:right w:val="single" w:color="000000" w:sz="8" w:space="0"/>
            </w:tcBorders>
            <w:shd w:val="clear" w:color="auto" w:fill="auto"/>
            <w:vAlign w:val="center"/>
          </w:tcPr>
          <w:p>
            <w:pPr>
              <w:widowControl/>
              <w:jc w:val="left"/>
              <w:rPr>
                <w:rFonts w:ascii="宋体" w:hAnsi="宋体"/>
                <w:b/>
                <w:bCs/>
                <w:color w:val="000000"/>
                <w:kern w:val="0"/>
                <w:sz w:val="24"/>
              </w:rPr>
            </w:pPr>
            <w:r>
              <w:rPr>
                <w:rFonts w:hint="eastAsia" w:ascii="宋体" w:hAnsi="宋体"/>
                <w:b/>
                <w:bCs/>
                <w:color w:val="000000"/>
                <w:kern w:val="0"/>
                <w:sz w:val="24"/>
              </w:rPr>
              <w:t>(</w:t>
            </w:r>
            <w:r>
              <w:rPr>
                <w:rFonts w:hint="eastAsia" w:ascii="宋体" w:hAnsi="宋体"/>
                <w:b/>
                <w:bCs/>
                <w:color w:val="000000"/>
                <w:kern w:val="0"/>
                <w:sz w:val="24"/>
                <w:lang w:val="en-US" w:eastAsia="zh-CN"/>
              </w:rPr>
              <w:t>七</w:t>
            </w:r>
            <w:r>
              <w:rPr>
                <w:rFonts w:hint="eastAsia" w:ascii="宋体" w:hAnsi="宋体"/>
                <w:b/>
                <w:bCs/>
                <w:color w:val="000000"/>
                <w:kern w:val="0"/>
                <w:sz w:val="24"/>
              </w:rPr>
              <w:t>)系统管理</w:t>
            </w:r>
          </w:p>
        </w:tc>
      </w:tr>
      <w:tr>
        <w:tblPrEx>
          <w:tblCellMar>
            <w:top w:w="0" w:type="dxa"/>
            <w:left w:w="108" w:type="dxa"/>
            <w:bottom w:w="0" w:type="dxa"/>
            <w:right w:w="108" w:type="dxa"/>
          </w:tblCellMar>
        </w:tblPrEx>
        <w:trPr>
          <w:trHeight w:val="624"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b/>
                <w:bCs/>
                <w:color w:val="000000"/>
                <w:kern w:val="0"/>
                <w:sz w:val="24"/>
                <w:lang w:val="en-US" w:eastAsia="zh-CN"/>
              </w:rPr>
            </w:pPr>
            <w:r>
              <w:rPr>
                <w:rFonts w:ascii="宋体" w:hAnsi="宋体"/>
                <w:b/>
                <w:bCs/>
                <w:color w:val="000000"/>
                <w:kern w:val="0"/>
                <w:sz w:val="24"/>
              </w:rPr>
              <w:t>3</w:t>
            </w:r>
            <w:r>
              <w:rPr>
                <w:rFonts w:hint="eastAsia" w:ascii="宋体" w:hAnsi="宋体"/>
                <w:b/>
                <w:bCs/>
                <w:color w:val="000000"/>
                <w:kern w:val="0"/>
                <w:sz w:val="24"/>
                <w:lang w:val="en-US" w:eastAsia="zh-CN"/>
              </w:rPr>
              <w:t>5</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资料库</w:t>
            </w: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1)对系统运行过程产生的各类附件及核心制度、评审标准等进行统一管理，支持上传文档；</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2)支持存储结构化文档；</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3)结构化文档目录项可配置系统模块；</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4)结构化文档可配置原始文档的页码；</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5)支持对文档作标签，支持多标签；并可按标签进行分类管理；</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rPr>
                <w:rFonts w:ascii="宋体" w:hAnsi="宋体"/>
                <w:color w:val="000000"/>
                <w:kern w:val="0"/>
                <w:sz w:val="24"/>
              </w:rPr>
            </w:pPr>
            <w:r>
              <w:rPr>
                <w:rFonts w:hint="eastAsia" w:ascii="宋体" w:hAnsi="宋体"/>
                <w:color w:val="000000"/>
                <w:kern w:val="0"/>
                <w:sz w:val="24"/>
              </w:rPr>
              <w:t>6)法规政策文档可自定义树型目录。</w:t>
            </w:r>
          </w:p>
        </w:tc>
      </w:tr>
      <w:tr>
        <w:tblPrEx>
          <w:tblCellMar>
            <w:top w:w="0" w:type="dxa"/>
            <w:left w:w="108" w:type="dxa"/>
            <w:bottom w:w="0" w:type="dxa"/>
            <w:right w:w="108" w:type="dxa"/>
          </w:tblCellMar>
        </w:tblPrEx>
        <w:trPr>
          <w:trHeight w:val="324" w:hRule="atLeast"/>
        </w:trPr>
        <w:tc>
          <w:tcPr>
            <w:tcW w:w="44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b/>
                <w:bCs/>
                <w:color w:val="000000"/>
                <w:kern w:val="0"/>
                <w:sz w:val="24"/>
                <w:lang w:val="en-US" w:eastAsia="zh-CN"/>
              </w:rPr>
            </w:pPr>
            <w:r>
              <w:rPr>
                <w:rFonts w:ascii="宋体" w:hAnsi="宋体"/>
                <w:b/>
                <w:bCs/>
                <w:color w:val="000000"/>
                <w:kern w:val="0"/>
                <w:sz w:val="24"/>
              </w:rPr>
              <w:t>3</w:t>
            </w:r>
            <w:r>
              <w:rPr>
                <w:rFonts w:hint="eastAsia" w:ascii="宋体" w:hAnsi="宋体"/>
                <w:b/>
                <w:bCs/>
                <w:color w:val="000000"/>
                <w:kern w:val="0"/>
                <w:sz w:val="24"/>
                <w:lang w:val="en-US" w:eastAsia="zh-CN"/>
              </w:rPr>
              <w:t>6</w:t>
            </w:r>
          </w:p>
        </w:tc>
        <w:tc>
          <w:tcPr>
            <w:tcW w:w="184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整体架构</w:t>
            </w: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1)系统采用B/S架构，无需下载任何控件即可使用。</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b/>
                <w:bCs/>
                <w:color w:val="000000"/>
                <w:kern w:val="0"/>
                <w:sz w:val="24"/>
                <w:lang w:val="en-US" w:eastAsia="zh-CN"/>
              </w:rPr>
            </w:pPr>
            <w:r>
              <w:rPr>
                <w:rFonts w:ascii="宋体" w:hAnsi="宋体"/>
                <w:b/>
                <w:bCs/>
                <w:color w:val="000000"/>
                <w:kern w:val="0"/>
                <w:sz w:val="24"/>
              </w:rPr>
              <w:t>3</w:t>
            </w:r>
            <w:r>
              <w:rPr>
                <w:rFonts w:hint="eastAsia" w:ascii="宋体" w:hAnsi="宋体"/>
                <w:b/>
                <w:bCs/>
                <w:color w:val="000000"/>
                <w:kern w:val="0"/>
                <w:sz w:val="24"/>
                <w:lang w:val="en-US" w:eastAsia="zh-CN"/>
              </w:rPr>
              <w:t>7</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消息管理</w:t>
            </w: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1)在政策发布、新技术申请文档时可自动产生消息；</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2)消息定义支持附件上传，查看消息可预览PDF、图片等格式的附件；</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3)消息定义时可按角色指定发送对象。</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b/>
                <w:bCs/>
                <w:color w:val="000000"/>
                <w:kern w:val="0"/>
                <w:sz w:val="24"/>
                <w:lang w:val="en-US" w:eastAsia="zh-CN"/>
              </w:rPr>
            </w:pPr>
            <w:r>
              <w:rPr>
                <w:rFonts w:ascii="宋体" w:hAnsi="宋体"/>
                <w:b/>
                <w:bCs/>
                <w:color w:val="000000"/>
                <w:kern w:val="0"/>
                <w:sz w:val="24"/>
              </w:rPr>
              <w:t>3</w:t>
            </w:r>
            <w:r>
              <w:rPr>
                <w:rFonts w:hint="eastAsia" w:ascii="宋体" w:hAnsi="宋体"/>
                <w:b/>
                <w:bCs/>
                <w:color w:val="000000"/>
                <w:kern w:val="0"/>
                <w:sz w:val="24"/>
                <w:lang w:val="en-US" w:eastAsia="zh-CN"/>
              </w:rPr>
              <w:t>8</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工作流管理</w:t>
            </w: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1)根据医务业务类型定义工作流；</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2)工作流支持条件节点；</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3)工作流支持按科室、人员、专家组、委员会及角色指定审批权限；</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4)工作流审批时可上传附件；</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5)工作流可定义回退节点。</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b/>
                <w:bCs/>
                <w:color w:val="000000"/>
                <w:kern w:val="0"/>
                <w:sz w:val="24"/>
                <w:lang w:val="en-US" w:eastAsia="zh-CN"/>
              </w:rPr>
            </w:pPr>
            <w:r>
              <w:rPr>
                <w:rFonts w:ascii="宋体" w:hAnsi="宋体"/>
                <w:b/>
                <w:bCs/>
                <w:color w:val="000000"/>
                <w:kern w:val="0"/>
                <w:sz w:val="24"/>
              </w:rPr>
              <w:t>3</w:t>
            </w:r>
            <w:r>
              <w:rPr>
                <w:rFonts w:hint="eastAsia" w:ascii="宋体" w:hAnsi="宋体"/>
                <w:b/>
                <w:bCs/>
                <w:color w:val="000000"/>
                <w:kern w:val="0"/>
                <w:sz w:val="24"/>
                <w:lang w:val="en-US" w:eastAsia="zh-CN"/>
              </w:rPr>
              <w:t>9</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接口管理</w:t>
            </w: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1)支持数据库、WEB API、WebService三种接口方式；</w:t>
            </w:r>
          </w:p>
        </w:tc>
      </w:tr>
      <w:tr>
        <w:tblPrEx>
          <w:tblCellMar>
            <w:top w:w="0" w:type="dxa"/>
            <w:left w:w="108" w:type="dxa"/>
            <w:bottom w:w="0" w:type="dxa"/>
            <w:right w:w="108" w:type="dxa"/>
          </w:tblCellMar>
        </w:tblPrEx>
        <w:trPr>
          <w:trHeight w:val="6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2)数据源接口支持编辑SQL语句提取数据，并可以自定义传入参数；</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3)接口数据源支持分页设置；</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4)支持接口的停用、启用；</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5)接口可按名称进行检索。</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b/>
                <w:bCs/>
                <w:color w:val="000000"/>
                <w:kern w:val="0"/>
                <w:sz w:val="24"/>
                <w:lang w:val="en-US" w:eastAsia="zh-CN"/>
              </w:rPr>
            </w:pPr>
            <w:r>
              <w:rPr>
                <w:rFonts w:hint="eastAsia" w:ascii="宋体" w:hAnsi="宋体"/>
                <w:b/>
                <w:bCs/>
                <w:color w:val="000000"/>
                <w:kern w:val="0"/>
                <w:sz w:val="24"/>
                <w:lang w:val="en-US" w:eastAsia="zh-CN"/>
              </w:rPr>
              <w:t>40</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权限管理</w:t>
            </w: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1)支持按角色授予、收回权限；</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2)支持模块、报表、行级数据权限配置。</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b/>
                <w:bCs/>
                <w:color w:val="000000"/>
                <w:kern w:val="0"/>
                <w:sz w:val="24"/>
                <w:lang w:val="en-US" w:eastAsia="zh-CN"/>
              </w:rPr>
            </w:pPr>
            <w:r>
              <w:rPr>
                <w:rFonts w:hint="eastAsia" w:ascii="宋体" w:hAnsi="宋体"/>
                <w:b/>
                <w:bCs/>
                <w:color w:val="000000"/>
                <w:kern w:val="0"/>
                <w:sz w:val="24"/>
                <w:lang w:val="en-US" w:eastAsia="zh-CN"/>
              </w:rPr>
              <w:t>41</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菜单管理</w:t>
            </w: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1)支持自定义功能菜单；</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2)可调整菜单项的顺序；</w:t>
            </w:r>
          </w:p>
        </w:tc>
      </w:tr>
      <w:tr>
        <w:tblPrEx>
          <w:tblCellMar>
            <w:top w:w="0" w:type="dxa"/>
            <w:left w:w="108" w:type="dxa"/>
            <w:bottom w:w="0" w:type="dxa"/>
            <w:right w:w="108" w:type="dxa"/>
          </w:tblCellMar>
        </w:tblPrEx>
        <w:trPr>
          <w:trHeight w:val="312"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3)系统的功能模块可自定义名称；</w:t>
            </w:r>
          </w:p>
        </w:tc>
      </w:tr>
      <w:tr>
        <w:tblPrEx>
          <w:tblCellMar>
            <w:top w:w="0" w:type="dxa"/>
            <w:left w:w="108" w:type="dxa"/>
            <w:bottom w:w="0" w:type="dxa"/>
            <w:right w:w="108" w:type="dxa"/>
          </w:tblCellMar>
        </w:tblPrEx>
        <w:trPr>
          <w:trHeight w:val="324"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4)支持外部URL链接。</w:t>
            </w:r>
          </w:p>
        </w:tc>
      </w:tr>
      <w:tr>
        <w:tblPrEx>
          <w:tblCellMar>
            <w:top w:w="0" w:type="dxa"/>
            <w:left w:w="108" w:type="dxa"/>
            <w:bottom w:w="0" w:type="dxa"/>
            <w:right w:w="108" w:type="dxa"/>
          </w:tblCellMar>
        </w:tblPrEx>
        <w:trPr>
          <w:trHeight w:val="312" w:hRule="atLeast"/>
        </w:trPr>
        <w:tc>
          <w:tcPr>
            <w:tcW w:w="4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宋体" w:hAnsi="宋体" w:eastAsia="宋体"/>
                <w:b/>
                <w:bCs/>
                <w:color w:val="000000"/>
                <w:kern w:val="0"/>
                <w:sz w:val="24"/>
                <w:lang w:val="en-US" w:eastAsia="zh-CN"/>
              </w:rPr>
            </w:pPr>
            <w:r>
              <w:rPr>
                <w:rFonts w:hint="eastAsia" w:ascii="宋体" w:hAnsi="宋体"/>
                <w:b/>
                <w:bCs/>
                <w:color w:val="000000"/>
                <w:kern w:val="0"/>
                <w:sz w:val="24"/>
                <w:lang w:val="en-US" w:eastAsia="zh-CN"/>
              </w:rPr>
              <w:t>42</w:t>
            </w:r>
          </w:p>
        </w:tc>
        <w:tc>
          <w:tcPr>
            <w:tcW w:w="18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olor w:val="000000"/>
                <w:kern w:val="0"/>
                <w:sz w:val="24"/>
              </w:rPr>
            </w:pPr>
            <w:r>
              <w:rPr>
                <w:rFonts w:hint="eastAsia" w:ascii="宋体" w:hAnsi="宋体"/>
                <w:color w:val="000000"/>
                <w:kern w:val="0"/>
                <w:sz w:val="24"/>
              </w:rPr>
              <w:t>组织机构</w:t>
            </w:r>
          </w:p>
        </w:tc>
        <w:tc>
          <w:tcPr>
            <w:tcW w:w="2711" w:type="pct"/>
            <w:tcBorders>
              <w:top w:val="nil"/>
              <w:left w:val="nil"/>
              <w:bottom w:val="nil"/>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1)支持科室及院区、临床小组、专家库、病区的自定义维护；</w:t>
            </w:r>
          </w:p>
        </w:tc>
      </w:tr>
      <w:tr>
        <w:tblPrEx>
          <w:tblCellMar>
            <w:top w:w="0" w:type="dxa"/>
            <w:left w:w="108" w:type="dxa"/>
            <w:bottom w:w="0" w:type="dxa"/>
            <w:right w:w="108" w:type="dxa"/>
          </w:tblCellMar>
        </w:tblPrEx>
        <w:trPr>
          <w:trHeight w:val="636" w:hRule="atLeast"/>
        </w:trPr>
        <w:tc>
          <w:tcPr>
            <w:tcW w:w="44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b/>
                <w:bCs/>
                <w:color w:val="000000"/>
                <w:kern w:val="0"/>
                <w:sz w:val="24"/>
              </w:rPr>
            </w:pPr>
          </w:p>
        </w:tc>
        <w:tc>
          <w:tcPr>
            <w:tcW w:w="18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olor w:val="000000"/>
                <w:kern w:val="0"/>
                <w:sz w:val="24"/>
              </w:rPr>
            </w:pPr>
          </w:p>
        </w:tc>
        <w:tc>
          <w:tcPr>
            <w:tcW w:w="2711"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color w:val="000000"/>
                <w:kern w:val="0"/>
                <w:sz w:val="24"/>
              </w:rPr>
            </w:pPr>
            <w:r>
              <w:rPr>
                <w:rFonts w:hint="eastAsia" w:ascii="宋体" w:hAnsi="宋体"/>
                <w:color w:val="000000"/>
                <w:kern w:val="0"/>
                <w:sz w:val="24"/>
              </w:rPr>
              <w:t>2)自定义考核单元，可将人员、科室二次组合成不同的考核单元，并可指定第三方系统的唯一标识。</w:t>
            </w:r>
          </w:p>
        </w:tc>
      </w:tr>
    </w:tbl>
    <w:p>
      <w:pPr>
        <w:pStyle w:val="2"/>
        <w:numPr>
          <w:ilvl w:val="0"/>
          <w:numId w:val="0"/>
        </w:numPr>
      </w:pPr>
    </w:p>
    <w:p>
      <w:pPr>
        <w:pStyle w:val="4"/>
        <w:rPr>
          <w:rFonts w:cs="宋体"/>
          <w:b/>
          <w:sz w:val="24"/>
        </w:rPr>
      </w:pPr>
      <w:r>
        <w:rPr>
          <w:rFonts w:hint="eastAsia" w:cs="宋体"/>
          <w:b/>
          <w:sz w:val="24"/>
          <w:lang w:eastAsia="zh-CN"/>
        </w:rPr>
        <w:t>三</w:t>
      </w:r>
      <w:r>
        <w:rPr>
          <w:rFonts w:hint="eastAsia" w:cs="宋体"/>
          <w:b/>
          <w:sz w:val="24"/>
        </w:rPr>
        <w:t>、交货期</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中标人应在采购合同签订后</w:t>
      </w:r>
      <w:r>
        <w:rPr>
          <w:rFonts w:hint="eastAsia" w:ascii="宋体" w:hAnsi="宋体" w:cs="宋体"/>
          <w:kern w:val="0"/>
          <w:sz w:val="24"/>
          <w:szCs w:val="24"/>
          <w:u w:val="single"/>
          <w:lang w:val="en-US" w:eastAsia="zh-CN"/>
        </w:rPr>
        <w:t>120</w:t>
      </w:r>
      <w:r>
        <w:rPr>
          <w:rFonts w:ascii="宋体" w:hAnsi="宋体" w:cs="宋体"/>
          <w:kern w:val="0"/>
          <w:sz w:val="24"/>
          <w:szCs w:val="24"/>
          <w:u w:val="single"/>
        </w:rPr>
        <w:t xml:space="preserve"> </w:t>
      </w:r>
      <w:r>
        <w:rPr>
          <w:rFonts w:hint="eastAsia" w:ascii="宋体" w:hAnsi="宋体" w:cs="宋体"/>
          <w:kern w:val="0"/>
          <w:sz w:val="24"/>
          <w:szCs w:val="24"/>
        </w:rPr>
        <w:t>个日历日内交货并完成安装调试。</w:t>
      </w:r>
    </w:p>
    <w:p>
      <w:pPr>
        <w:pStyle w:val="2"/>
        <w:spacing w:line="400" w:lineRule="exact"/>
        <w:ind w:firstLine="0" w:firstLineChars="0"/>
        <w:rPr>
          <w:rFonts w:hint="eastAsia" w:ascii="宋体" w:hAnsi="宋体" w:cs="宋体"/>
          <w:sz w:val="24"/>
          <w:szCs w:val="24"/>
        </w:rPr>
      </w:pPr>
    </w:p>
    <w:p>
      <w:pPr>
        <w:pStyle w:val="4"/>
        <w:rPr>
          <w:b/>
          <w:sz w:val="24"/>
        </w:rPr>
      </w:pPr>
      <w:bookmarkStart w:id="6" w:name="_Toc465087495"/>
      <w:bookmarkStart w:id="7" w:name="_Toc267320050"/>
      <w:r>
        <w:rPr>
          <w:rFonts w:hint="eastAsia"/>
          <w:b/>
          <w:sz w:val="24"/>
          <w:lang w:eastAsia="zh-CN"/>
        </w:rPr>
        <w:t>四</w:t>
      </w:r>
      <w:r>
        <w:rPr>
          <w:rFonts w:hint="eastAsia"/>
          <w:b/>
          <w:sz w:val="24"/>
        </w:rPr>
        <w:t>、报价要求</w:t>
      </w:r>
      <w:bookmarkEnd w:id="6"/>
    </w:p>
    <w:p>
      <w:pPr>
        <w:snapToGrid w:val="0"/>
        <w:spacing w:line="360" w:lineRule="auto"/>
        <w:ind w:firstLine="480" w:firstLineChars="200"/>
        <w:rPr>
          <w:rFonts w:ascii="宋体" w:hAnsi="宋体"/>
        </w:rPr>
      </w:pPr>
      <w:r>
        <w:rPr>
          <w:rFonts w:hint="eastAsia" w:ascii="宋体" w:hAnsi="宋体" w:cs="宋体"/>
          <w:kern w:val="0"/>
          <w:sz w:val="24"/>
          <w:szCs w:val="24"/>
        </w:rPr>
        <w:t>本次报价须为人民币报价，包含：产品价、运输费（含装卸费）、保险费、安装费、调试费、售后服务费</w:t>
      </w:r>
      <w:r>
        <w:rPr>
          <w:rFonts w:hint="eastAsia"/>
        </w:rPr>
        <w:t>、</w:t>
      </w:r>
      <w:r>
        <w:rPr>
          <w:rFonts w:hint="eastAsia" w:ascii="宋体" w:hAnsi="宋体" w:cs="宋体"/>
          <w:kern w:val="0"/>
          <w:sz w:val="24"/>
          <w:szCs w:val="24"/>
        </w:rPr>
        <w:t>税费、培训费与其他施工单位的配合费、保险费、安装费、调试费、售后服务费</w:t>
      </w:r>
      <w:r>
        <w:rPr>
          <w:rFonts w:hint="eastAsia"/>
        </w:rPr>
        <w:t>、</w:t>
      </w:r>
      <w:r>
        <w:rPr>
          <w:rFonts w:hint="eastAsia" w:ascii="宋体" w:hAnsi="宋体" w:cs="宋体"/>
          <w:kern w:val="0"/>
          <w:sz w:val="24"/>
          <w:szCs w:val="24"/>
        </w:rPr>
        <w:t>税费、培训费、其他施工单位的配合费以及与医院要求对接的各系统数据交换接口费等使本项目软硬件系统能正常使用，达到验收标准的所有费用。</w:t>
      </w:r>
    </w:p>
    <w:p>
      <w:pPr>
        <w:pStyle w:val="4"/>
        <w:rPr>
          <w:b/>
          <w:sz w:val="24"/>
        </w:rPr>
      </w:pPr>
      <w:bookmarkStart w:id="8" w:name="_Toc465087496"/>
      <w:r>
        <w:rPr>
          <w:rFonts w:hint="eastAsia"/>
          <w:b/>
          <w:sz w:val="24"/>
          <w:lang w:eastAsia="zh-CN"/>
        </w:rPr>
        <w:t>五</w:t>
      </w:r>
      <w:r>
        <w:rPr>
          <w:rFonts w:hint="eastAsia"/>
          <w:b/>
          <w:sz w:val="24"/>
        </w:rPr>
        <w:t>、质量保证及售后服务</w:t>
      </w:r>
      <w:bookmarkEnd w:id="7"/>
      <w:bookmarkEnd w:id="8"/>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（一）产品质量保证期</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1、投标人应明确承诺：其投标产品质量保证期为</w:t>
      </w:r>
      <w:r>
        <w:rPr>
          <w:rFonts w:hint="eastAsia" w:ascii="宋体" w:hAnsi="宋体" w:cs="宋体"/>
          <w:kern w:val="0"/>
          <w:sz w:val="24"/>
          <w:szCs w:val="24"/>
          <w:lang w:val="en-US" w:eastAsia="zh-CN"/>
        </w:rPr>
        <w:t>3</w:t>
      </w:r>
      <w:r>
        <w:rPr>
          <w:rFonts w:hint="eastAsia" w:ascii="宋体" w:hAnsi="宋体" w:cs="宋体"/>
          <w:kern w:val="0"/>
          <w:sz w:val="24"/>
          <w:szCs w:val="24"/>
        </w:rPr>
        <w:t>年</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2、投标产品属于国家规定“三包”范围的，其产品质量保证期不得低于“三包”规定。</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3、投标人的质量保证期承诺优于国家“三包”规定的，按投标人实际承诺执行。</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（二）售后服务内容</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1、投标人和制造商在质量保证期内应当为采购人提供以下技术支持和服务：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（1）电话咨询</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中标人和制造商应当为采购人提供技术援助电话，解答采购人在使用中遇到的问题，及时为采购人提出解决问题的建议。</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（2）现场响应</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采购人遇到使用及技术问题，电话咨询或网络远程不能解决的，中标人和制造商应在</w:t>
      </w:r>
      <w:r>
        <w:rPr>
          <w:rFonts w:hint="eastAsia" w:ascii="宋体" w:hAnsi="宋体" w:cs="宋体"/>
          <w:kern w:val="0"/>
          <w:sz w:val="24"/>
          <w:szCs w:val="24"/>
          <w:u w:val="single"/>
        </w:rPr>
        <w:t xml:space="preserve"> </w:t>
      </w:r>
      <w:r>
        <w:rPr>
          <w:rFonts w:ascii="宋体" w:hAnsi="宋体" w:cs="宋体"/>
          <w:kern w:val="0"/>
          <w:sz w:val="24"/>
          <w:szCs w:val="24"/>
          <w:u w:val="single"/>
        </w:rPr>
        <w:t>4</w:t>
      </w:r>
      <w:r>
        <w:rPr>
          <w:rFonts w:hint="eastAsia" w:ascii="宋体" w:hAnsi="宋体" w:cs="宋体"/>
          <w:kern w:val="0"/>
          <w:sz w:val="24"/>
          <w:szCs w:val="24"/>
          <w:u w:val="single"/>
        </w:rPr>
        <w:t xml:space="preserve">  </w:t>
      </w:r>
      <w:r>
        <w:rPr>
          <w:rFonts w:hint="eastAsia" w:ascii="宋体" w:hAnsi="宋体" w:cs="宋体"/>
          <w:kern w:val="0"/>
          <w:sz w:val="24"/>
          <w:szCs w:val="24"/>
        </w:rPr>
        <w:t>小内到达现场进行处理，确保产品正常工作。</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（3）技术升级</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在质保期内，如果中标人和制造商的产品技术升级，供应商应及时通知采购人，如采购人有相应要求，中标人和制造商应对采购人购买的产品进行升级服务。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2、质保期外服务要求</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（1）质量保证期过后，供应商和制造商应同样提供免费电话咨询服务，并应承诺提供产品上门维护服务。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（2）质量保证期过后，采购人需要继续由原供应商和制造商提供售后服务的，该供应商和制造商不超过合同价的</w:t>
      </w:r>
      <w:r>
        <w:rPr>
          <w:rFonts w:hint="eastAsia" w:ascii="宋体" w:hAnsi="宋体" w:cs="宋体"/>
          <w:kern w:val="0"/>
          <w:sz w:val="24"/>
          <w:szCs w:val="24"/>
          <w:lang w:val="en-US" w:eastAsia="zh-CN"/>
        </w:rPr>
        <w:t>6</w:t>
      </w:r>
      <w:r>
        <w:rPr>
          <w:rFonts w:hint="eastAsia" w:ascii="宋体" w:hAnsi="宋体" w:cs="宋体"/>
          <w:kern w:val="0"/>
          <w:sz w:val="24"/>
          <w:szCs w:val="24"/>
        </w:rPr>
        <w:t>%的前提下与乙方另行协商售后服务价格，提供售后服务。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）后续新增</w:t>
      </w:r>
      <w:r>
        <w:rPr>
          <w:rFonts w:ascii="宋体" w:hAnsi="宋体" w:cs="宋体"/>
          <w:kern w:val="0"/>
          <w:sz w:val="24"/>
          <w:szCs w:val="24"/>
        </w:rPr>
        <w:t>单一接口费用</w:t>
      </w:r>
      <w:r>
        <w:rPr>
          <w:rFonts w:hint="eastAsia" w:ascii="宋体" w:hAnsi="宋体" w:cs="宋体"/>
          <w:kern w:val="0"/>
          <w:sz w:val="24"/>
          <w:szCs w:val="24"/>
        </w:rPr>
        <w:t>不超过合同价的8%的前提下与乙方另行协商接口服务价格。</w:t>
      </w:r>
    </w:p>
    <w:p>
      <w:pPr>
        <w:pStyle w:val="4"/>
      </w:pPr>
      <w:bookmarkStart w:id="11" w:name="_GoBack"/>
      <w:bookmarkEnd w:id="11"/>
      <w:r>
        <w:rPr>
          <w:rFonts w:hint="eastAsia" w:eastAsia="宋体"/>
          <w:b/>
          <w:sz w:val="24"/>
          <w:lang w:eastAsia="zh-CN"/>
        </w:rPr>
        <w:t>六</w:t>
      </w:r>
      <w:r>
        <w:rPr>
          <w:rFonts w:hint="eastAsia" w:eastAsia="宋体"/>
          <w:b/>
          <w:sz w:val="24"/>
        </w:rPr>
        <w:t>、付款方式</w:t>
      </w:r>
      <w:bookmarkEnd w:id="3"/>
      <w:bookmarkEnd w:id="4"/>
      <w:bookmarkEnd w:id="5"/>
    </w:p>
    <w:p>
      <w:pPr>
        <w:snapToGrid w:val="0"/>
        <w:spacing w:line="400" w:lineRule="exact"/>
        <w:ind w:firstLine="480" w:firstLineChars="200"/>
        <w:rPr>
          <w:rFonts w:hint="eastAsia"/>
          <w:sz w:val="24"/>
          <w:lang w:val="en-US" w:eastAsia="zh-CN"/>
        </w:rPr>
      </w:pPr>
      <w:bookmarkStart w:id="9" w:name="_Toc505608533"/>
      <w:bookmarkStart w:id="10" w:name="_Toc267320052"/>
      <w:r>
        <w:rPr>
          <w:rFonts w:hint="eastAsia"/>
          <w:sz w:val="24"/>
          <w:lang w:val="en-US" w:eastAsia="zh-CN"/>
        </w:rPr>
        <w:t>1.</w:t>
      </w:r>
      <w:r>
        <w:rPr>
          <w:rFonts w:hint="eastAsia"/>
          <w:sz w:val="24"/>
          <w:lang w:eastAsia="zh-CN"/>
        </w:rPr>
        <w:t>中标通知发出后</w:t>
      </w:r>
      <w:r>
        <w:rPr>
          <w:rFonts w:hint="eastAsia"/>
          <w:sz w:val="24"/>
          <w:lang w:val="en-US" w:eastAsia="zh-CN"/>
        </w:rPr>
        <w:t>5个工作日内，中标人向采购人支付合同金额5%的履约保证金。</w:t>
      </w:r>
    </w:p>
    <w:p>
      <w:pPr>
        <w:snapToGrid w:val="0"/>
        <w:spacing w:line="400" w:lineRule="exact"/>
        <w:ind w:firstLine="480" w:firstLineChars="200"/>
        <w:rPr>
          <w:rFonts w:hint="eastAsia"/>
          <w:sz w:val="24"/>
          <w:lang w:eastAsia="zh-CN"/>
        </w:rPr>
      </w:pPr>
      <w:r>
        <w:rPr>
          <w:rFonts w:hint="eastAsia"/>
          <w:sz w:val="24"/>
          <w:lang w:val="en-US" w:eastAsia="zh-CN"/>
        </w:rPr>
        <w:t>2.签订合同后，中标人应在规定的时间内安装调试完成。双方验收合格后，采购人支付合同价款的95%</w:t>
      </w:r>
      <w:r>
        <w:rPr>
          <w:rFonts w:hint="eastAsia"/>
          <w:sz w:val="24"/>
        </w:rPr>
        <w:t>；</w:t>
      </w:r>
      <w:r>
        <w:rPr>
          <w:rFonts w:hint="eastAsia"/>
          <w:sz w:val="24"/>
          <w:lang w:eastAsia="zh-CN"/>
        </w:rPr>
        <w:t>采购人办理履约保证金退还手续。</w:t>
      </w:r>
    </w:p>
    <w:p>
      <w:pPr>
        <w:snapToGrid w:val="0"/>
        <w:spacing w:line="400" w:lineRule="exact"/>
        <w:ind w:firstLine="480" w:firstLineChars="200"/>
        <w:rPr>
          <w:sz w:val="24"/>
        </w:rPr>
      </w:pPr>
      <w:r>
        <w:rPr>
          <w:rFonts w:hint="eastAsia"/>
          <w:sz w:val="24"/>
          <w:lang w:val="en-US" w:eastAsia="zh-CN"/>
        </w:rPr>
        <w:t>3.</w:t>
      </w:r>
      <w:r>
        <w:rPr>
          <w:rFonts w:hint="eastAsia"/>
          <w:sz w:val="24"/>
        </w:rPr>
        <w:t>在质保期满后，无质量问题并满足合同条件后</w:t>
      </w:r>
      <w:r>
        <w:rPr>
          <w:sz w:val="24"/>
        </w:rPr>
        <w:t>15</w:t>
      </w:r>
      <w:r>
        <w:rPr>
          <w:rFonts w:hint="eastAsia"/>
          <w:sz w:val="24"/>
        </w:rPr>
        <w:t>个工作日内采购人向中标人支付合同</w:t>
      </w:r>
      <w:r>
        <w:rPr>
          <w:rFonts w:hint="eastAsia"/>
          <w:sz w:val="24"/>
          <w:lang w:eastAsia="zh-CN"/>
        </w:rPr>
        <w:t>尾款</w:t>
      </w:r>
      <w:r>
        <w:rPr>
          <w:rFonts w:hint="eastAsia"/>
          <w:sz w:val="24"/>
        </w:rPr>
        <w:t>。</w:t>
      </w:r>
    </w:p>
    <w:bookmarkEnd w:id="9"/>
    <w:bookmarkEnd w:id="10"/>
    <w:p>
      <w:pPr>
        <w:ind w:firstLine="424" w:firstLineChars="177"/>
        <w:rPr>
          <w:sz w:val="24"/>
          <w:szCs w:val="24"/>
        </w:rPr>
      </w:pPr>
    </w:p>
    <w:p>
      <w:pPr>
        <w:spacing w:line="360" w:lineRule="auto"/>
        <w:ind w:firstLine="360" w:firstLineChars="150"/>
        <w:rPr>
          <w:rFonts w:hAnsi="宋体" w:cs="方正仿宋_GBK"/>
          <w:sz w:val="24"/>
          <w:szCs w:val="24"/>
        </w:rPr>
      </w:pPr>
    </w:p>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506A60A"/>
    <w:multiLevelType w:val="singleLevel"/>
    <w:tmpl w:val="4506A60A"/>
    <w:lvl w:ilvl="0" w:tentative="0">
      <w:start w:val="2"/>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lN2QzODVkNzUwMWY0MjBlNzVjZDNkNzZhMjI0NzgifQ=="/>
  </w:docVars>
  <w:rsids>
    <w:rsidRoot w:val="00340621"/>
    <w:rsid w:val="00157EBF"/>
    <w:rsid w:val="00166BE1"/>
    <w:rsid w:val="00340621"/>
    <w:rsid w:val="00A41824"/>
    <w:rsid w:val="00B50692"/>
    <w:rsid w:val="00F4338A"/>
    <w:rsid w:val="19F149AE"/>
    <w:rsid w:val="2E141EF5"/>
    <w:rsid w:val="318F3BCF"/>
    <w:rsid w:val="32B03A54"/>
    <w:rsid w:val="5430318F"/>
    <w:rsid w:val="554A01FF"/>
    <w:rsid w:val="705D5D3F"/>
    <w:rsid w:val="74A85E9F"/>
    <w:rsid w:val="7ADA370A"/>
    <w:rsid w:val="7C3C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3">
    <w:name w:val="heading 1"/>
    <w:basedOn w:val="1"/>
    <w:next w:val="1"/>
    <w:link w:val="18"/>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9"/>
    <w:qFormat/>
    <w:uiPriority w:val="0"/>
    <w:pPr>
      <w:keepNext/>
      <w:keepLines/>
      <w:jc w:val="left"/>
      <w:outlineLvl w:val="1"/>
    </w:pPr>
    <w:rPr>
      <w:rFonts w:ascii="Arial" w:hAnsi="Arial"/>
      <w:bCs/>
      <w:kern w:val="2"/>
      <w:sz w:val="28"/>
      <w:szCs w:val="32"/>
    </w:rPr>
  </w:style>
  <w:style w:type="paragraph" w:styleId="5">
    <w:name w:val="heading 3"/>
    <w:basedOn w:val="1"/>
    <w:next w:val="1"/>
    <w:qFormat/>
    <w:uiPriority w:val="0"/>
    <w:pPr>
      <w:keepNext/>
      <w:keepLines/>
      <w:spacing w:before="50" w:beforeLines="50"/>
      <w:outlineLvl w:val="2"/>
    </w:pPr>
    <w:rPr>
      <w:rFonts w:ascii="Times New Roman"/>
      <w:bCs/>
      <w:kern w:val="2"/>
      <w:sz w:val="24"/>
      <w:szCs w:val="32"/>
    </w:rPr>
  </w:style>
  <w:style w:type="paragraph" w:styleId="6">
    <w:name w:val="heading 4"/>
    <w:basedOn w:val="1"/>
    <w:next w:val="1"/>
    <w:qFormat/>
    <w:uiPriority w:val="0"/>
    <w:pPr>
      <w:keepNext/>
      <w:kinsoku w:val="0"/>
      <w:overflowPunct w:val="0"/>
      <w:autoSpaceDE w:val="0"/>
      <w:autoSpaceDN w:val="0"/>
      <w:adjustRightInd w:val="0"/>
      <w:snapToGrid w:val="0"/>
      <w:spacing w:line="360" w:lineRule="auto"/>
      <w:outlineLvl w:val="3"/>
    </w:pPr>
    <w:rPr>
      <w:rFonts w:hAnsi="宋体"/>
      <w:b/>
      <w:bCs/>
      <w:kern w:val="2"/>
      <w:sz w:val="24"/>
      <w:szCs w:val="24"/>
    </w:rPr>
  </w:style>
  <w:style w:type="paragraph" w:styleId="7">
    <w:name w:val="heading 5"/>
    <w:basedOn w:val="1"/>
    <w:next w:val="1"/>
    <w:qFormat/>
    <w:uiPriority w:val="0"/>
    <w:pPr>
      <w:keepNext/>
      <w:keepLines/>
      <w:widowControl/>
      <w:spacing w:before="120" w:after="120" w:line="360" w:lineRule="auto"/>
      <w:ind w:firstLine="499"/>
      <w:jc w:val="left"/>
      <w:outlineLvl w:val="4"/>
    </w:pPr>
    <w:rPr>
      <w:rFonts w:hAnsi="宋体"/>
      <w:b/>
      <w:sz w:val="24"/>
    </w:rPr>
  </w:style>
  <w:style w:type="paragraph" w:styleId="8">
    <w:name w:val="heading 6"/>
    <w:basedOn w:val="1"/>
    <w:next w:val="1"/>
    <w:qFormat/>
    <w:uiPriority w:val="0"/>
    <w:pPr>
      <w:keepNext/>
      <w:keepLines/>
      <w:widowControl/>
      <w:numPr>
        <w:ilvl w:val="5"/>
        <w:numId w:val="1"/>
      </w:numPr>
      <w:spacing w:before="240" w:after="64" w:line="317" w:lineRule="auto"/>
      <w:jc w:val="left"/>
      <w:outlineLvl w:val="5"/>
    </w:pPr>
    <w:rPr>
      <w:rFonts w:ascii="Arial" w:hAnsi="Arial" w:eastAsia="黑体"/>
      <w:b/>
      <w:bCs/>
      <w:kern w:val="2"/>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200" w:firstLineChars="200"/>
    </w:pPr>
  </w:style>
  <w:style w:type="paragraph" w:styleId="9">
    <w:name w:val="Normal Indent"/>
    <w:basedOn w:val="1"/>
    <w:qFormat/>
    <w:uiPriority w:val="0"/>
    <w:pPr>
      <w:adjustRightInd w:val="0"/>
      <w:snapToGrid w:val="0"/>
      <w:spacing w:line="360" w:lineRule="auto"/>
      <w:ind w:firstLine="420"/>
    </w:pPr>
    <w:rPr>
      <w:sz w:val="24"/>
      <w:szCs w:val="20"/>
    </w:rPr>
  </w:style>
  <w:style w:type="paragraph" w:styleId="10">
    <w:name w:val="Body Text"/>
    <w:basedOn w:val="1"/>
    <w:link w:val="20"/>
    <w:qFormat/>
    <w:uiPriority w:val="0"/>
    <w:pPr>
      <w:spacing w:after="120"/>
    </w:pPr>
  </w:style>
  <w:style w:type="paragraph" w:styleId="11">
    <w:name w:val="Body Text Indent"/>
    <w:basedOn w:val="1"/>
    <w:qFormat/>
    <w:uiPriority w:val="0"/>
    <w:pPr>
      <w:spacing w:line="700" w:lineRule="exact"/>
      <w:ind w:left="960"/>
    </w:pPr>
    <w:rPr>
      <w:kern w:val="0"/>
      <w:sz w:val="44"/>
      <w:szCs w:val="20"/>
    </w:rPr>
  </w:style>
  <w:style w:type="paragraph" w:styleId="12">
    <w:name w:val="footer"/>
    <w:basedOn w:val="1"/>
    <w:link w:val="17"/>
    <w:unhideWhenUsed/>
    <w:qFormat/>
    <w:uiPriority w:val="99"/>
    <w:pPr>
      <w:tabs>
        <w:tab w:val="center" w:pos="4153"/>
        <w:tab w:val="right" w:pos="8306"/>
      </w:tabs>
      <w:snapToGrid w:val="0"/>
      <w:jc w:val="left"/>
    </w:pPr>
    <w:rPr>
      <w:sz w:val="18"/>
      <w:szCs w:val="18"/>
    </w:rPr>
  </w:style>
  <w:style w:type="paragraph" w:styleId="1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6">
    <w:name w:val="页眉 Char"/>
    <w:basedOn w:val="15"/>
    <w:link w:val="13"/>
    <w:qFormat/>
    <w:uiPriority w:val="99"/>
    <w:rPr>
      <w:sz w:val="18"/>
      <w:szCs w:val="18"/>
    </w:rPr>
  </w:style>
  <w:style w:type="character" w:customStyle="1" w:styleId="17">
    <w:name w:val="页脚 Char"/>
    <w:basedOn w:val="15"/>
    <w:link w:val="12"/>
    <w:qFormat/>
    <w:uiPriority w:val="99"/>
    <w:rPr>
      <w:sz w:val="18"/>
      <w:szCs w:val="18"/>
    </w:rPr>
  </w:style>
  <w:style w:type="character" w:customStyle="1" w:styleId="18">
    <w:name w:val="标题 1 Char"/>
    <w:basedOn w:val="15"/>
    <w:link w:val="3"/>
    <w:qFormat/>
    <w:uiPriority w:val="0"/>
    <w:rPr>
      <w:rFonts w:ascii="Times New Roman" w:hAnsi="Times New Roman" w:eastAsia="仿宋" w:cs="Times New Roman"/>
      <w:b/>
      <w:bCs/>
      <w:kern w:val="44"/>
      <w:sz w:val="44"/>
      <w:szCs w:val="44"/>
    </w:rPr>
  </w:style>
  <w:style w:type="character" w:customStyle="1" w:styleId="19">
    <w:name w:val="标题 2 Char"/>
    <w:basedOn w:val="15"/>
    <w:link w:val="4"/>
    <w:qFormat/>
    <w:uiPriority w:val="0"/>
    <w:rPr>
      <w:rFonts w:ascii="Arial" w:hAnsi="Arial" w:eastAsia="宋体" w:cs="Times New Roman"/>
      <w:bCs/>
      <w:sz w:val="28"/>
      <w:szCs w:val="32"/>
    </w:rPr>
  </w:style>
  <w:style w:type="character" w:customStyle="1" w:styleId="20">
    <w:name w:val="正文文本 Char"/>
    <w:basedOn w:val="15"/>
    <w:link w:val="10"/>
    <w:qFormat/>
    <w:uiPriority w:val="0"/>
    <w:rPr>
      <w:rFonts w:ascii="宋体" w:hAnsi="Times New Roman" w:eastAsia="宋体" w:cs="Times New Roman"/>
      <w:kern w:val="0"/>
      <w:sz w:val="34"/>
      <w:szCs w:val="20"/>
    </w:rPr>
  </w:style>
  <w:style w:type="paragraph" w:styleId="21">
    <w:name w:val="List Paragraph"/>
    <w:basedOn w:val="1"/>
    <w:qFormat/>
    <w:uiPriority w:val="0"/>
    <w:pPr>
      <w:widowControl/>
      <w:ind w:left="720"/>
      <w:jc w:val="left"/>
    </w:pPr>
    <w:rPr>
      <w:rFonts w:ascii="Calibri" w:hAnsi="Calibri"/>
      <w:sz w:val="24"/>
      <w:lang w:eastAsia="en-US" w:bidi="en-US"/>
    </w:rPr>
  </w:style>
  <w:style w:type="paragraph" w:customStyle="1" w:styleId="22">
    <w:name w:val="正文样式"/>
    <w:basedOn w:val="1"/>
    <w:qFormat/>
    <w:uiPriority w:val="0"/>
    <w:pPr>
      <w:ind w:firstLine="200" w:firstLineChars="200"/>
    </w:pPr>
    <w:rPr>
      <w:rFonts w:ascii="Times New Roman"/>
      <w:kern w:val="2"/>
      <w:sz w:val="21"/>
      <w:szCs w:val="24"/>
    </w:rPr>
  </w:style>
  <w:style w:type="paragraph" w:customStyle="1" w:styleId="23">
    <w:name w:val="样式（本文所用）"/>
    <w:basedOn w:val="1"/>
    <w:qFormat/>
    <w:uiPriority w:val="0"/>
    <w:pPr>
      <w:spacing w:line="360" w:lineRule="auto"/>
      <w:ind w:firstLine="200" w:firstLineChars="200"/>
    </w:pPr>
    <w:rPr>
      <w:rFonts w:hAnsi="宋体" w:cs="宋体"/>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7351</Words>
  <Characters>7696</Characters>
  <Lines>42</Lines>
  <Paragraphs>11</Paragraphs>
  <TotalTime>14</TotalTime>
  <ScaleCrop>false</ScaleCrop>
  <LinksUpToDate>false</LinksUpToDate>
  <CharactersWithSpaces>7803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2022-12-28T01:26:00Z</dcterms:created>
  <dc:creator>Microsoft 帐户</dc:creator>
  <cp:lastModifiedBy>小陈Clam</cp:lastModifiedBy>
  <dcterms:modified xsi:type="dcterms:W3CDTF">2023-09-13T02:37:18Z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326A7A7D485641C9A6876D3F55882AE3</vt:lpwstr>
  </property>
</Properties>
</file>