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rFonts w:hint="eastAsia"/>
          <w:b/>
          <w:sz w:val="44"/>
          <w:szCs w:val="44"/>
          <w:highlight w:val="none"/>
        </w:rPr>
        <w:t>重庆医科大学</w:t>
      </w:r>
      <w:r>
        <w:rPr>
          <w:rFonts w:hint="eastAsia"/>
          <w:b/>
          <w:sz w:val="44"/>
          <w:szCs w:val="44"/>
          <w:highlight w:val="none"/>
          <w:lang w:eastAsia="zh-CN"/>
        </w:rPr>
        <w:t>附属</w:t>
      </w:r>
      <w:r>
        <w:rPr>
          <w:rFonts w:hint="eastAsia"/>
          <w:b/>
          <w:sz w:val="44"/>
          <w:szCs w:val="44"/>
          <w:highlight w:val="none"/>
        </w:rPr>
        <w:t>口腔医院</w:t>
      </w:r>
    </w:p>
    <w:p>
      <w:pPr>
        <w:jc w:val="center"/>
        <w:rPr>
          <w:b/>
          <w:sz w:val="44"/>
          <w:szCs w:val="44"/>
          <w:highlight w:val="none"/>
        </w:rPr>
      </w:pPr>
      <w:r>
        <w:rPr>
          <w:rFonts w:hint="eastAsia"/>
          <w:b/>
          <w:sz w:val="44"/>
          <w:szCs w:val="44"/>
          <w:highlight w:val="none"/>
        </w:rPr>
        <w:t>需求询价公告</w:t>
      </w:r>
    </w:p>
    <w:p>
      <w:pPr>
        <w:jc w:val="left"/>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16</w:t>
      </w:r>
      <w:bookmarkStart w:id="17" w:name="_GoBack"/>
      <w:bookmarkEnd w:id="17"/>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尹</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 xml:space="preserve"> 88602488</w:t>
      </w:r>
      <w:r>
        <w:rPr>
          <w:rFonts w:hint="eastAsia" w:cs="Tahoma" w:asciiTheme="minorEastAsia" w:hAnsiTheme="minorEastAsia"/>
          <w:b/>
          <w:color w:val="333333"/>
          <w:sz w:val="28"/>
          <w:szCs w:val="28"/>
          <w:highlight w:val="none"/>
          <w:shd w:val="clear" w:color="auto" w:fill="FFFFFF"/>
        </w:rPr>
        <w:t>。</w:t>
      </w:r>
    </w:p>
    <w:p>
      <w:pPr>
        <w:jc w:val="center"/>
        <w:rPr>
          <w:b/>
          <w:color w:val="000000"/>
          <w:sz w:val="28"/>
          <w:szCs w:val="28"/>
          <w:highlight w:val="none"/>
        </w:rPr>
      </w:pPr>
      <w:r>
        <w:rPr>
          <w:rFonts w:hint="eastAsia" w:ascii="Calibri" w:hAnsi="Calibri" w:eastAsia="宋体" w:cs="Times New Roman"/>
          <w:b/>
          <w:color w:val="000000"/>
          <w:sz w:val="28"/>
          <w:szCs w:val="28"/>
          <w:highlight w:val="none"/>
          <w:lang w:val="en-US" w:eastAsia="zh-CN"/>
        </w:rPr>
        <w:t xml:space="preserve">  </w:t>
      </w:r>
      <w:r>
        <w:rPr>
          <w:rFonts w:hint="eastAsia" w:ascii="Calibri" w:hAnsi="Calibri" w:eastAsia="宋体" w:cs="Times New Roman"/>
          <w:b/>
          <w:color w:val="000000"/>
          <w:sz w:val="28"/>
          <w:szCs w:val="28"/>
          <w:highlight w:val="none"/>
          <w:u w:val="single"/>
          <w:lang w:val="en-US" w:eastAsia="zh-CN"/>
        </w:rPr>
        <w:t>客车包车服务</w:t>
      </w:r>
      <w:r>
        <w:rPr>
          <w:rFonts w:hint="eastAsia" w:ascii="Calibri" w:hAnsi="Calibri" w:eastAsia="宋体" w:cs="Times New Roman"/>
          <w:b/>
          <w:color w:val="000000"/>
          <w:sz w:val="28"/>
          <w:szCs w:val="28"/>
          <w:highlight w:val="none"/>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highlight w:val="none"/>
              </w:rPr>
            </w:pPr>
            <w:r>
              <w:rPr>
                <w:rFonts w:hint="eastAsia" w:ascii="宋体" w:hAnsi="宋体" w:eastAsia="宋体" w:cs="宋体"/>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highlight w:val="none"/>
              </w:rPr>
            </w:pPr>
            <w:r>
              <w:rPr>
                <w:rFonts w:hint="eastAsia" w:ascii="宋体" w:hAnsi="宋体" w:eastAsia="宋体" w:cs="宋体"/>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highlight w:val="none"/>
              </w:rPr>
            </w:pPr>
            <w:r>
              <w:rPr>
                <w:rFonts w:hint="eastAsia" w:ascii="宋体" w:hAnsi="宋体" w:eastAsia="宋体" w:cs="宋体"/>
                <w:sz w:val="24"/>
                <w:szCs w:val="24"/>
                <w:highlight w:val="none"/>
              </w:rPr>
              <w:t>报价：         元（总价），</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 xml:space="preserve">期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年，</w:t>
            </w:r>
            <w:r>
              <w:rPr>
                <w:rFonts w:ascii="宋体" w:hAnsi="宋体" w:eastAsia="宋体" w:cs="宋体"/>
                <w:sz w:val="24"/>
                <w:szCs w:val="24"/>
                <w:highlight w:val="none"/>
              </w:rPr>
              <w:t>报价需含</w:t>
            </w:r>
            <w:r>
              <w:rPr>
                <w:rFonts w:hint="eastAsia" w:ascii="宋体" w:hAnsi="宋体" w:eastAsia="宋体" w:cs="宋体"/>
                <w:sz w:val="24"/>
                <w:szCs w:val="24"/>
                <w:highlight w:val="none"/>
              </w:rPr>
              <w:t>货物</w:t>
            </w:r>
            <w:r>
              <w:rPr>
                <w:rFonts w:ascii="宋体" w:hAnsi="宋体" w:eastAsia="宋体" w:cs="宋体"/>
                <w:sz w:val="24"/>
                <w:szCs w:val="24"/>
                <w:highlight w:val="none"/>
              </w:rPr>
              <w:t>、人工、培训、运输、税费等全部费用，验收合格后付款</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r>
              <w:rPr>
                <w:rFonts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项目及技术要求</w:t>
            </w:r>
          </w:p>
        </w:tc>
        <w:tc>
          <w:tcPr>
            <w:tcW w:w="1701" w:type="dxa"/>
          </w:tcPr>
          <w:p>
            <w:pPr>
              <w:spacing w:line="276" w:lineRule="auto"/>
              <w:jc w:val="center"/>
              <w:rPr>
                <w:rFonts w:ascii="宋体" w:hAnsi="宋体"/>
                <w:b/>
                <w:sz w:val="24"/>
                <w:szCs w:val="24"/>
                <w:highlight w:val="none"/>
              </w:rPr>
            </w:pPr>
            <w:r>
              <w:rPr>
                <w:rFonts w:hint="eastAsia" w:ascii="宋体" w:hAnsi="宋体" w:eastAsia="宋体" w:cs="宋体"/>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具体内容附后</w:t>
            </w:r>
          </w:p>
        </w:tc>
        <w:tc>
          <w:tcPr>
            <w:tcW w:w="1701" w:type="dxa"/>
          </w:tcPr>
          <w:p>
            <w:pPr>
              <w:spacing w:line="276" w:lineRule="auto"/>
              <w:jc w:val="left"/>
              <w:rPr>
                <w:rFonts w:ascii="宋体" w:hAnsi="宋体"/>
                <w:b/>
                <w:sz w:val="24"/>
                <w:szCs w:val="24"/>
                <w:highlight w:val="none"/>
              </w:rPr>
            </w:pPr>
          </w:p>
        </w:tc>
      </w:tr>
    </w:tbl>
    <w:p>
      <w:pPr>
        <w:jc w:val="left"/>
        <w:rPr>
          <w:b/>
          <w:color w:val="FF0000"/>
          <w:sz w:val="28"/>
          <w:szCs w:val="28"/>
          <w:highlight w:val="none"/>
        </w:rPr>
      </w:pPr>
    </w:p>
    <w:p>
      <w:pPr>
        <w:rPr>
          <w:b/>
          <w:color w:val="FF0000"/>
          <w:sz w:val="28"/>
          <w:szCs w:val="28"/>
          <w:highlight w:val="none"/>
        </w:rPr>
      </w:pPr>
      <w:r>
        <w:rPr>
          <w:b/>
          <w:color w:val="FF0000"/>
          <w:sz w:val="28"/>
          <w:szCs w:val="28"/>
          <w:highlight w:val="none"/>
        </w:rPr>
        <w:br w:type="page"/>
      </w:r>
    </w:p>
    <w:p>
      <w:pPr>
        <w:pStyle w:val="2"/>
        <w:spacing w:line="360" w:lineRule="auto"/>
        <w:rPr>
          <w:rFonts w:ascii="宋体" w:hAnsi="宋体" w:eastAsia="宋体" w:cs="宋体"/>
          <w:highlight w:val="none"/>
        </w:rPr>
      </w:pPr>
      <w:bookmarkStart w:id="0" w:name="_Toc98942879"/>
      <w:bookmarkStart w:id="1" w:name="_Toc19113857"/>
      <w:r>
        <w:rPr>
          <w:rFonts w:hint="eastAsia" w:ascii="宋体" w:hAnsi="宋体" w:eastAsia="宋体" w:cs="宋体"/>
          <w:highlight w:val="none"/>
        </w:rPr>
        <w:t>第</w:t>
      </w:r>
      <w:r>
        <w:rPr>
          <w:rFonts w:hint="eastAsia" w:ascii="宋体" w:hAnsi="宋体" w:eastAsia="宋体" w:cs="宋体"/>
          <w:highlight w:val="none"/>
          <w:lang w:eastAsia="zh-CN"/>
        </w:rPr>
        <w:t>一</w:t>
      </w:r>
      <w:r>
        <w:rPr>
          <w:rFonts w:hint="eastAsia" w:ascii="宋体" w:hAnsi="宋体" w:eastAsia="宋体" w:cs="宋体"/>
          <w:highlight w:val="none"/>
        </w:rPr>
        <w:t>篇 项目服务要求</w:t>
      </w:r>
      <w:bookmarkEnd w:id="0"/>
      <w:bookmarkEnd w:id="1"/>
    </w:p>
    <w:p>
      <w:pPr>
        <w:pStyle w:val="3"/>
        <w:rPr>
          <w:highlight w:val="none"/>
        </w:rPr>
      </w:pPr>
      <w:bookmarkStart w:id="2" w:name="_Toc98942880"/>
      <w:r>
        <w:rPr>
          <w:rFonts w:hint="eastAsia"/>
          <w:highlight w:val="none"/>
        </w:rPr>
        <w:t>一、招标项目一览表</w:t>
      </w:r>
      <w:bookmarkEnd w:id="2"/>
    </w:p>
    <w:tbl>
      <w:tblPr>
        <w:tblStyle w:val="1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重庆医科大学附属口腔医院客车包车服务项目</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highlight w:val="none"/>
              </w:rPr>
            </w:pPr>
            <w:r>
              <w:rPr>
                <w:rFonts w:hint="eastAsia" w:hAnsi="宋体" w:cs="宋体"/>
                <w:sz w:val="21"/>
                <w:szCs w:val="21"/>
                <w:highlight w:val="none"/>
              </w:rPr>
              <w:t>1年</w:t>
            </w:r>
          </w:p>
        </w:tc>
      </w:tr>
    </w:tbl>
    <w:p>
      <w:pPr>
        <w:spacing w:line="360" w:lineRule="auto"/>
        <w:ind w:firstLine="480"/>
        <w:rPr>
          <w:rFonts w:hAnsi="宋体" w:cs="宋体"/>
          <w:b/>
          <w:bCs/>
          <w:sz w:val="24"/>
          <w:szCs w:val="24"/>
          <w:highlight w:val="none"/>
        </w:rPr>
      </w:pPr>
      <w:bookmarkStart w:id="3" w:name="_Toc98942881"/>
      <w:r>
        <w:rPr>
          <w:rFonts w:hint="eastAsia" w:hAnsi="宋体" w:cs="宋体"/>
          <w:b/>
          <w:bCs/>
          <w:sz w:val="24"/>
          <w:szCs w:val="24"/>
          <w:highlight w:val="none"/>
        </w:rPr>
        <w:t>特定资格要求：</w:t>
      </w:r>
    </w:p>
    <w:p>
      <w:pPr>
        <w:pStyle w:val="3"/>
        <w:spacing w:line="360" w:lineRule="auto"/>
        <w:ind w:firstLine="480" w:firstLineChars="200"/>
        <w:rPr>
          <w:rFonts w:hint="eastAsia"/>
          <w:highlight w:val="none"/>
        </w:rPr>
      </w:pPr>
      <w:r>
        <w:rPr>
          <w:rFonts w:hint="eastAsia" w:hAnsi="宋体" w:cs="宋体"/>
          <w:sz w:val="24"/>
          <w:szCs w:val="24"/>
          <w:highlight w:val="none"/>
        </w:rPr>
        <w:t>投标人须具备由道路运输行业主管部门核发的《中华人民共和国道路运输经营许可证》，同时经营范围应包含县际包车客运、省际包车客运。（提供许可证复印件）。</w:t>
      </w:r>
    </w:p>
    <w:p>
      <w:pPr>
        <w:pStyle w:val="3"/>
        <w:spacing w:line="360" w:lineRule="auto"/>
        <w:rPr>
          <w:highlight w:val="none"/>
        </w:rPr>
      </w:pPr>
      <w:r>
        <w:rPr>
          <w:rFonts w:hint="eastAsia"/>
          <w:highlight w:val="none"/>
        </w:rPr>
        <w:t>二、招标项目服务要求</w:t>
      </w:r>
      <w:bookmarkEnd w:id="3"/>
    </w:p>
    <w:p>
      <w:pPr>
        <w:spacing w:line="360" w:lineRule="auto"/>
        <w:ind w:firstLine="480" w:firstLineChars="200"/>
        <w:rPr>
          <w:rFonts w:cs="仿宋"/>
          <w:sz w:val="24"/>
          <w:szCs w:val="24"/>
          <w:highlight w:val="none"/>
        </w:rPr>
      </w:pPr>
      <w:bookmarkStart w:id="4" w:name="_Toc98942882"/>
      <w:bookmarkStart w:id="5" w:name="_Toc19113858"/>
      <w:bookmarkStart w:id="6" w:name="_Toc267320049"/>
      <w:r>
        <w:rPr>
          <w:rFonts w:hint="eastAsia" w:cs="仿宋"/>
          <w:sz w:val="24"/>
          <w:szCs w:val="24"/>
          <w:highlight w:val="none"/>
        </w:rPr>
        <w:t>在用车包车期间，根据采购人提供的“口腔医学院教学用车安排表”或者临时约定的用车需求中的时间、地点、车辆数提供车辆以及司机，并保证准时。</w:t>
      </w:r>
    </w:p>
    <w:p>
      <w:pPr>
        <w:spacing w:line="360" w:lineRule="auto"/>
        <w:ind w:firstLine="480"/>
        <w:rPr>
          <w:rFonts w:cs="仿宋"/>
          <w:sz w:val="24"/>
          <w:szCs w:val="24"/>
          <w:highlight w:val="none"/>
        </w:rPr>
      </w:pPr>
      <w:r>
        <w:rPr>
          <w:rFonts w:hint="eastAsia" w:cs="仿宋"/>
          <w:sz w:val="24"/>
          <w:szCs w:val="24"/>
          <w:highlight w:val="none"/>
        </w:rPr>
        <w:t>（一）用车需求:</w:t>
      </w:r>
    </w:p>
    <w:p>
      <w:pPr>
        <w:spacing w:line="360" w:lineRule="auto"/>
        <w:ind w:firstLine="480"/>
        <w:rPr>
          <w:rFonts w:cs="仿宋"/>
          <w:sz w:val="24"/>
          <w:szCs w:val="24"/>
          <w:highlight w:val="none"/>
        </w:rPr>
      </w:pPr>
      <w:r>
        <w:rPr>
          <w:rFonts w:hint="eastAsia" w:cs="仿宋"/>
          <w:sz w:val="24"/>
          <w:szCs w:val="24"/>
          <w:highlight w:val="none"/>
        </w:rPr>
        <w:t>1.学生用车需求，具体时间路线见口腔医院学院办公室提供的“口腔医学院教学用车安排表”,根据学生数量安排38-54座的客车。备用车型：38座车，48座车，54座车。（无54座车型的可用两部车代替，但两部车总座位数不得低于55座，采购人按54座车型一部车进行结算）</w:t>
      </w:r>
    </w:p>
    <w:p>
      <w:pPr>
        <w:spacing w:line="360" w:lineRule="auto"/>
        <w:ind w:firstLine="480"/>
        <w:rPr>
          <w:rFonts w:cs="仿宋"/>
          <w:sz w:val="24"/>
          <w:szCs w:val="24"/>
          <w:highlight w:val="none"/>
        </w:rPr>
      </w:pPr>
      <w:r>
        <w:rPr>
          <w:rFonts w:hint="eastAsia" w:cs="仿宋"/>
          <w:sz w:val="24"/>
          <w:szCs w:val="24"/>
          <w:highlight w:val="none"/>
        </w:rPr>
        <w:t>2.采购人临时需求，根据需求情况安排9-54座的客车。备用车型：9座、18座、29座、38座车、48座车和54座车。若投标人无上述相同座次车型,可提供其他车型替换,但车型座次不能低于采购人要求的座次。</w:t>
      </w:r>
    </w:p>
    <w:p>
      <w:pPr>
        <w:spacing w:line="360" w:lineRule="auto"/>
        <w:ind w:firstLine="480"/>
        <w:rPr>
          <w:rFonts w:cs="仿宋"/>
          <w:sz w:val="24"/>
          <w:szCs w:val="24"/>
          <w:highlight w:val="none"/>
        </w:rPr>
      </w:pPr>
      <w:r>
        <w:rPr>
          <w:rFonts w:hint="eastAsia" w:cs="仿宋"/>
          <w:sz w:val="24"/>
          <w:szCs w:val="24"/>
          <w:highlight w:val="none"/>
        </w:rPr>
        <w:t>（二）基本要求</w:t>
      </w:r>
    </w:p>
    <w:p>
      <w:pPr>
        <w:spacing w:line="360" w:lineRule="auto"/>
        <w:ind w:firstLine="480"/>
        <w:rPr>
          <w:rFonts w:cs="仿宋"/>
          <w:sz w:val="24"/>
          <w:szCs w:val="24"/>
          <w:highlight w:val="none"/>
        </w:rPr>
      </w:pPr>
      <w:r>
        <w:rPr>
          <w:rFonts w:hint="eastAsia" w:cs="仿宋"/>
          <w:sz w:val="24"/>
          <w:szCs w:val="24"/>
          <w:highlight w:val="none"/>
        </w:rPr>
        <w:t>1.拟派驾驶员必须是企业聘用或劳务派遣人员，须具备驾驶相应车辆的资格。</w:t>
      </w:r>
    </w:p>
    <w:p>
      <w:pPr>
        <w:spacing w:line="360" w:lineRule="auto"/>
        <w:ind w:firstLine="480"/>
        <w:rPr>
          <w:rFonts w:cs="仿宋"/>
          <w:sz w:val="24"/>
          <w:szCs w:val="24"/>
          <w:highlight w:val="none"/>
        </w:rPr>
      </w:pPr>
      <w:r>
        <w:rPr>
          <w:rFonts w:hint="eastAsia" w:cs="仿宋"/>
          <w:sz w:val="24"/>
          <w:szCs w:val="24"/>
          <w:highlight w:val="none"/>
        </w:rPr>
        <w:t>2.根据采购人提供的“口腔医学院教学用车安排表”中用车数量和用车时间，派足车辆，按照预定的时间、地点、线路运行和停靠(除因不可抗拒的因素而造成的误点)。保证车辆安全设施齐全，车况良好，车内清洁卫生。</w:t>
      </w:r>
    </w:p>
    <w:p>
      <w:pPr>
        <w:spacing w:line="360" w:lineRule="auto"/>
        <w:ind w:firstLine="480"/>
        <w:rPr>
          <w:rFonts w:cs="仿宋"/>
          <w:sz w:val="24"/>
          <w:szCs w:val="24"/>
          <w:highlight w:val="none"/>
        </w:rPr>
      </w:pPr>
      <w:r>
        <w:rPr>
          <w:rFonts w:hint="eastAsia" w:cs="仿宋"/>
          <w:sz w:val="24"/>
          <w:szCs w:val="24"/>
          <w:highlight w:val="none"/>
        </w:rPr>
        <w:t>3.保证采购人的乘坐人员安全，行车途中发生的安全责任事故以国家相关法律和法规承担责任。</w:t>
      </w:r>
    </w:p>
    <w:p>
      <w:pPr>
        <w:spacing w:line="360" w:lineRule="auto"/>
        <w:ind w:firstLine="480"/>
        <w:rPr>
          <w:rFonts w:cs="仿宋"/>
          <w:sz w:val="24"/>
          <w:szCs w:val="24"/>
          <w:highlight w:val="none"/>
        </w:rPr>
      </w:pPr>
      <w:r>
        <w:rPr>
          <w:rFonts w:hint="eastAsia" w:cs="仿宋"/>
          <w:sz w:val="24"/>
          <w:szCs w:val="24"/>
          <w:highlight w:val="none"/>
        </w:rPr>
        <w:t>4.严格按照重庆医科大学附属口腔医院、重庆医科大学、重庆市的安全卫生管理要求开展相关防控工作。(提供承诺函加盖投标人鲜章,格式自拟)</w:t>
      </w:r>
    </w:p>
    <w:p>
      <w:pPr>
        <w:spacing w:line="360" w:lineRule="auto"/>
        <w:ind w:firstLine="480"/>
        <w:rPr>
          <w:rFonts w:cs="仿宋"/>
          <w:sz w:val="24"/>
          <w:szCs w:val="24"/>
          <w:highlight w:val="none"/>
        </w:rPr>
      </w:pPr>
      <w:r>
        <w:rPr>
          <w:rFonts w:hint="eastAsia" w:cs="仿宋"/>
          <w:sz w:val="24"/>
          <w:szCs w:val="24"/>
          <w:highlight w:val="none"/>
        </w:rPr>
        <w:t>5.如车辆在运送途中发生故障，应该无条件重新安排车辆迅速将所有人员运抵目的地。</w:t>
      </w:r>
    </w:p>
    <w:p>
      <w:pPr>
        <w:spacing w:line="360" w:lineRule="auto"/>
        <w:ind w:firstLine="480"/>
        <w:rPr>
          <w:rFonts w:cs="仿宋"/>
          <w:sz w:val="24"/>
          <w:szCs w:val="24"/>
          <w:highlight w:val="none"/>
        </w:rPr>
      </w:pPr>
      <w:r>
        <w:rPr>
          <w:rFonts w:hint="eastAsia" w:cs="仿宋"/>
          <w:sz w:val="24"/>
          <w:szCs w:val="24"/>
          <w:highlight w:val="none"/>
        </w:rPr>
        <w:t>6.必须保证每次行程的出发时间。如迟到一次扣除当次往返车费50%，如果当季度迟到三次，或者累计迟到六次，采购人有权解除合同。（提供承诺函加盖投标人鲜章，格式自定）</w:t>
      </w:r>
    </w:p>
    <w:p>
      <w:pPr>
        <w:spacing w:line="360" w:lineRule="auto"/>
        <w:ind w:firstLine="480"/>
        <w:rPr>
          <w:rFonts w:cs="仿宋"/>
          <w:sz w:val="24"/>
          <w:szCs w:val="24"/>
          <w:highlight w:val="none"/>
        </w:rPr>
      </w:pPr>
      <w:r>
        <w:rPr>
          <w:rFonts w:hint="eastAsia" w:cs="仿宋"/>
          <w:sz w:val="24"/>
          <w:szCs w:val="24"/>
          <w:highlight w:val="none"/>
        </w:rPr>
        <w:t>7.遵守国家相关的法律法规，特别是《道路交通安全法》。（提供承诺函加盖投标人鲜章，格式自定）</w:t>
      </w:r>
    </w:p>
    <w:p>
      <w:pPr>
        <w:spacing w:line="360" w:lineRule="auto"/>
        <w:ind w:firstLine="480"/>
        <w:rPr>
          <w:rFonts w:cs="仿宋"/>
          <w:sz w:val="24"/>
          <w:szCs w:val="24"/>
          <w:highlight w:val="none"/>
        </w:rPr>
      </w:pPr>
      <w:r>
        <w:rPr>
          <w:rFonts w:hint="eastAsia" w:cs="仿宋"/>
          <w:sz w:val="24"/>
          <w:szCs w:val="24"/>
          <w:highlight w:val="none"/>
        </w:rPr>
        <w:t>8.严禁携带"三危"品上车。</w:t>
      </w:r>
    </w:p>
    <w:p>
      <w:pPr>
        <w:spacing w:line="360" w:lineRule="auto"/>
        <w:ind w:firstLine="480"/>
        <w:rPr>
          <w:rFonts w:cs="仿宋"/>
          <w:sz w:val="24"/>
          <w:szCs w:val="24"/>
          <w:highlight w:val="none"/>
        </w:rPr>
      </w:pPr>
      <w:r>
        <w:rPr>
          <w:rFonts w:hint="eastAsia" w:cs="仿宋"/>
          <w:sz w:val="24"/>
          <w:szCs w:val="24"/>
          <w:highlight w:val="none"/>
        </w:rPr>
        <w:t>9.若遇天雨路滑、起雾、交通堵塞等特殊情况，投标人驾驶员应以安全为重，不必盲目开快车赶时间。在确保安全的前提下，尽力保证车辆运行。</w:t>
      </w:r>
    </w:p>
    <w:p>
      <w:pPr>
        <w:spacing w:line="360" w:lineRule="auto"/>
        <w:ind w:firstLine="480"/>
        <w:rPr>
          <w:rFonts w:cs="仿宋"/>
          <w:sz w:val="24"/>
          <w:szCs w:val="24"/>
          <w:highlight w:val="none"/>
        </w:rPr>
      </w:pPr>
      <w:r>
        <w:rPr>
          <w:rFonts w:hint="eastAsia" w:cs="仿宋"/>
          <w:sz w:val="24"/>
          <w:szCs w:val="24"/>
          <w:highlight w:val="none"/>
        </w:rPr>
        <w:t>10.拟委派的驾驶员必须持有客运车辆从业资格证书及相应驾驶证。（提供至少3名资格证书及驾驶证复印件）</w:t>
      </w:r>
    </w:p>
    <w:p>
      <w:pPr>
        <w:spacing w:line="360" w:lineRule="auto"/>
        <w:ind w:firstLine="480"/>
        <w:rPr>
          <w:rFonts w:cs="仿宋"/>
          <w:sz w:val="24"/>
          <w:szCs w:val="24"/>
          <w:highlight w:val="none"/>
        </w:rPr>
      </w:pPr>
      <w:r>
        <w:rPr>
          <w:rFonts w:hint="eastAsia" w:cs="宋体"/>
          <w:sz w:val="24"/>
          <w:szCs w:val="24"/>
          <w:highlight w:val="none"/>
        </w:rPr>
        <w:t>10.投标人</w:t>
      </w:r>
      <w:r>
        <w:rPr>
          <w:rFonts w:hint="eastAsia"/>
          <w:sz w:val="24"/>
          <w:szCs w:val="24"/>
          <w:highlight w:val="none"/>
        </w:rPr>
        <w:t>必须</w:t>
      </w:r>
      <w:r>
        <w:rPr>
          <w:rFonts w:hint="eastAsia"/>
          <w:b/>
          <w:sz w:val="24"/>
          <w:szCs w:val="24"/>
          <w:highlight w:val="none"/>
        </w:rPr>
        <w:t>承诺在中标后</w:t>
      </w:r>
      <w:r>
        <w:rPr>
          <w:rFonts w:hint="eastAsia"/>
          <w:sz w:val="24"/>
          <w:szCs w:val="24"/>
          <w:highlight w:val="none"/>
        </w:rPr>
        <w:t>对所有服务</w:t>
      </w:r>
      <w:r>
        <w:rPr>
          <w:rFonts w:hint="eastAsia" w:cs="仿宋"/>
          <w:sz w:val="24"/>
          <w:szCs w:val="24"/>
          <w:highlight w:val="none"/>
        </w:rPr>
        <w:t>车辆购置车辆交强险和商业险（含机动车损失险、第三者责任保险、司机责任险和乘客责任险、不计免赔险，其中司机责任险和乘客责任险不低于40万元/座。（提供书面承诺函并加盖投标人鲜章）。</w:t>
      </w:r>
    </w:p>
    <w:p>
      <w:pPr>
        <w:spacing w:line="360" w:lineRule="auto"/>
        <w:ind w:firstLine="480"/>
        <w:rPr>
          <w:rFonts w:cs="仿宋"/>
          <w:sz w:val="24"/>
          <w:szCs w:val="24"/>
          <w:highlight w:val="none"/>
        </w:rPr>
      </w:pPr>
      <w:r>
        <w:rPr>
          <w:rFonts w:hint="eastAsia" w:cs="仿宋"/>
          <w:sz w:val="24"/>
          <w:szCs w:val="24"/>
          <w:highlight w:val="none"/>
        </w:rPr>
        <w:t>11.投标人自有客运车辆至少10辆。（提供至少10份车辆行驶证复印件）</w:t>
      </w:r>
    </w:p>
    <w:p>
      <w:pPr>
        <w:spacing w:line="360" w:lineRule="auto"/>
        <w:ind w:firstLine="480"/>
        <w:rPr>
          <w:rFonts w:cs="仿宋"/>
          <w:sz w:val="24"/>
          <w:szCs w:val="24"/>
          <w:highlight w:val="none"/>
        </w:rPr>
      </w:pPr>
      <w:r>
        <w:rPr>
          <w:rFonts w:hint="eastAsia" w:cs="仿宋"/>
          <w:sz w:val="24"/>
          <w:szCs w:val="24"/>
          <w:highlight w:val="none"/>
        </w:rPr>
        <w:t>（三）</w:t>
      </w:r>
      <w:r>
        <w:rPr>
          <w:rFonts w:hint="eastAsia" w:cs="仿宋"/>
          <w:sz w:val="24"/>
          <w:szCs w:val="24"/>
          <w:highlight w:val="none"/>
          <w:lang w:eastAsia="zh-CN"/>
        </w:rPr>
        <w:t>学生</w:t>
      </w:r>
      <w:r>
        <w:rPr>
          <w:rFonts w:hint="eastAsia" w:cs="仿宋"/>
          <w:sz w:val="24"/>
          <w:szCs w:val="24"/>
          <w:highlight w:val="none"/>
        </w:rPr>
        <w:t>用车安排</w:t>
      </w:r>
    </w:p>
    <w:p>
      <w:pPr>
        <w:spacing w:line="360" w:lineRule="auto"/>
        <w:ind w:firstLine="480"/>
        <w:rPr>
          <w:rFonts w:cs="仿宋"/>
          <w:sz w:val="24"/>
          <w:szCs w:val="24"/>
          <w:highlight w:val="none"/>
        </w:rPr>
      </w:pPr>
      <w:r>
        <w:rPr>
          <w:rFonts w:hint="eastAsia" w:cs="仿宋"/>
          <w:sz w:val="24"/>
          <w:szCs w:val="24"/>
          <w:highlight w:val="none"/>
        </w:rPr>
        <w:t xml:space="preserve">1.重庆医科大学袁家岗校区-口腔医院（上清寺院区/北部新院）接送往返时间： </w:t>
      </w:r>
    </w:p>
    <w:p>
      <w:pPr>
        <w:spacing w:line="360" w:lineRule="auto"/>
        <w:ind w:firstLine="480"/>
        <w:rPr>
          <w:rFonts w:cs="仿宋"/>
          <w:sz w:val="24"/>
          <w:szCs w:val="24"/>
          <w:highlight w:val="none"/>
        </w:rPr>
      </w:pPr>
      <w:r>
        <w:rPr>
          <w:rFonts w:hint="eastAsia" w:cs="仿宋"/>
          <w:sz w:val="24"/>
          <w:szCs w:val="24"/>
          <w:highlight w:val="none"/>
        </w:rPr>
        <w:t>上午:7:10—12:00</w:t>
      </w:r>
    </w:p>
    <w:p>
      <w:pPr>
        <w:spacing w:line="360" w:lineRule="auto"/>
        <w:ind w:firstLine="480"/>
        <w:rPr>
          <w:rFonts w:cs="仿宋"/>
          <w:sz w:val="24"/>
          <w:szCs w:val="24"/>
          <w:highlight w:val="none"/>
        </w:rPr>
      </w:pPr>
      <w:r>
        <w:rPr>
          <w:rFonts w:hint="eastAsia" w:cs="仿宋"/>
          <w:sz w:val="24"/>
          <w:szCs w:val="24"/>
          <w:highlight w:val="none"/>
        </w:rPr>
        <w:t>下午:13:10—17:30</w:t>
      </w:r>
    </w:p>
    <w:p>
      <w:pPr>
        <w:spacing w:line="360" w:lineRule="auto"/>
        <w:ind w:firstLine="480"/>
        <w:rPr>
          <w:rFonts w:cs="仿宋"/>
          <w:sz w:val="24"/>
          <w:szCs w:val="24"/>
          <w:highlight w:val="none"/>
        </w:rPr>
      </w:pPr>
      <w:r>
        <w:rPr>
          <w:rFonts w:hint="eastAsia" w:cs="仿宋"/>
          <w:sz w:val="24"/>
          <w:szCs w:val="24"/>
          <w:highlight w:val="none"/>
        </w:rPr>
        <w:t>全天:7:10—17:30</w:t>
      </w:r>
    </w:p>
    <w:p>
      <w:pPr>
        <w:spacing w:line="360" w:lineRule="auto"/>
        <w:ind w:firstLine="480"/>
        <w:rPr>
          <w:rFonts w:cs="仿宋"/>
          <w:sz w:val="24"/>
          <w:szCs w:val="24"/>
          <w:highlight w:val="none"/>
        </w:rPr>
      </w:pPr>
      <w:r>
        <w:rPr>
          <w:rFonts w:hint="eastAsia" w:cs="仿宋"/>
          <w:sz w:val="24"/>
          <w:szCs w:val="24"/>
          <w:highlight w:val="none"/>
        </w:rPr>
        <w:t>2.重庆医科大学缙云校区--口腔医院（上清寺院区/北部新院）接送往返时间：</w:t>
      </w:r>
    </w:p>
    <w:p>
      <w:pPr>
        <w:spacing w:line="360" w:lineRule="auto"/>
        <w:ind w:firstLine="480"/>
        <w:rPr>
          <w:rFonts w:cs="仿宋"/>
          <w:sz w:val="24"/>
          <w:szCs w:val="24"/>
          <w:highlight w:val="none"/>
        </w:rPr>
      </w:pPr>
      <w:r>
        <w:rPr>
          <w:rFonts w:hint="eastAsia" w:cs="仿宋"/>
          <w:sz w:val="24"/>
          <w:szCs w:val="24"/>
          <w:highlight w:val="none"/>
        </w:rPr>
        <w:t>上午:7:00—12:00</w:t>
      </w:r>
    </w:p>
    <w:p>
      <w:pPr>
        <w:spacing w:line="360" w:lineRule="auto"/>
        <w:ind w:firstLine="480"/>
        <w:rPr>
          <w:rFonts w:cs="仿宋"/>
          <w:sz w:val="24"/>
          <w:szCs w:val="24"/>
          <w:highlight w:val="none"/>
        </w:rPr>
      </w:pPr>
      <w:r>
        <w:rPr>
          <w:rFonts w:hint="eastAsia" w:cs="仿宋"/>
          <w:sz w:val="24"/>
          <w:szCs w:val="24"/>
          <w:highlight w:val="none"/>
        </w:rPr>
        <w:t>下午:12:30—17:30</w:t>
      </w:r>
    </w:p>
    <w:p>
      <w:pPr>
        <w:spacing w:line="360" w:lineRule="auto"/>
        <w:ind w:firstLine="480"/>
        <w:rPr>
          <w:rFonts w:cs="仿宋"/>
          <w:sz w:val="24"/>
          <w:szCs w:val="24"/>
          <w:highlight w:val="none"/>
        </w:rPr>
      </w:pPr>
      <w:r>
        <w:rPr>
          <w:rFonts w:hint="eastAsia" w:cs="仿宋"/>
          <w:sz w:val="24"/>
          <w:szCs w:val="24"/>
          <w:highlight w:val="none"/>
        </w:rPr>
        <w:t>全天:7:00—17:30</w:t>
      </w:r>
    </w:p>
    <w:p>
      <w:pPr>
        <w:spacing w:line="360" w:lineRule="auto"/>
        <w:ind w:firstLine="480"/>
        <w:rPr>
          <w:rFonts w:cs="仿宋"/>
          <w:sz w:val="24"/>
          <w:szCs w:val="24"/>
          <w:highlight w:val="none"/>
        </w:rPr>
      </w:pPr>
      <w:r>
        <w:rPr>
          <w:rFonts w:hint="eastAsia" w:cs="仿宋"/>
          <w:sz w:val="24"/>
          <w:szCs w:val="24"/>
          <w:highlight w:val="none"/>
        </w:rPr>
        <w:t>3.重庆医科大学袁家岗校区---实验课院外实践授课基地接送往返时间：</w:t>
      </w:r>
    </w:p>
    <w:p>
      <w:pPr>
        <w:spacing w:line="360" w:lineRule="auto"/>
        <w:ind w:firstLine="480"/>
        <w:rPr>
          <w:rFonts w:cs="仿宋"/>
          <w:sz w:val="24"/>
          <w:szCs w:val="24"/>
          <w:highlight w:val="none"/>
        </w:rPr>
      </w:pPr>
      <w:r>
        <w:rPr>
          <w:rFonts w:hint="eastAsia" w:cs="仿宋"/>
          <w:sz w:val="24"/>
          <w:szCs w:val="24"/>
          <w:highlight w:val="none"/>
        </w:rPr>
        <w:t>上午:7:10—12:00</w:t>
      </w:r>
    </w:p>
    <w:p>
      <w:pPr>
        <w:spacing w:line="360" w:lineRule="auto"/>
        <w:ind w:firstLine="480"/>
        <w:rPr>
          <w:rFonts w:cs="仿宋"/>
          <w:sz w:val="24"/>
          <w:szCs w:val="24"/>
          <w:highlight w:val="none"/>
        </w:rPr>
      </w:pPr>
      <w:r>
        <w:rPr>
          <w:rFonts w:hint="eastAsia" w:cs="仿宋"/>
          <w:sz w:val="24"/>
          <w:szCs w:val="24"/>
          <w:highlight w:val="none"/>
        </w:rPr>
        <w:t>下午:13:10—17:30</w:t>
      </w:r>
    </w:p>
    <w:p>
      <w:pPr>
        <w:spacing w:line="360" w:lineRule="auto"/>
        <w:ind w:firstLine="480"/>
        <w:rPr>
          <w:rFonts w:cs="仿宋"/>
          <w:sz w:val="24"/>
          <w:szCs w:val="24"/>
          <w:highlight w:val="none"/>
        </w:rPr>
      </w:pPr>
      <w:r>
        <w:rPr>
          <w:rFonts w:hint="eastAsia" w:cs="仿宋"/>
          <w:sz w:val="24"/>
          <w:szCs w:val="24"/>
          <w:highlight w:val="none"/>
        </w:rPr>
        <w:t>4.重庆医科大学缙云校区---重庆医科大学袁家岗校区（学生校区调整）</w:t>
      </w:r>
    </w:p>
    <w:p>
      <w:pPr>
        <w:spacing w:line="360" w:lineRule="auto"/>
        <w:ind w:firstLine="480"/>
        <w:rPr>
          <w:rFonts w:cs="仿宋"/>
          <w:sz w:val="24"/>
          <w:szCs w:val="24"/>
          <w:highlight w:val="none"/>
        </w:rPr>
      </w:pPr>
      <w:r>
        <w:rPr>
          <w:rFonts w:hint="eastAsia" w:cs="仿宋"/>
          <w:sz w:val="24"/>
          <w:szCs w:val="24"/>
          <w:highlight w:val="none"/>
        </w:rPr>
        <w:t>根据提前协商的时间确定上车时间和具体地点。</w:t>
      </w:r>
    </w:p>
    <w:p>
      <w:pPr>
        <w:spacing w:line="360" w:lineRule="auto"/>
        <w:ind w:firstLine="480"/>
        <w:rPr>
          <w:rFonts w:cs="仿宋"/>
          <w:sz w:val="24"/>
          <w:szCs w:val="24"/>
          <w:highlight w:val="none"/>
        </w:rPr>
      </w:pPr>
      <w:r>
        <w:rPr>
          <w:rFonts w:hint="eastAsia" w:cs="仿宋"/>
          <w:sz w:val="24"/>
          <w:szCs w:val="24"/>
          <w:highlight w:val="none"/>
        </w:rPr>
        <w:t>5.重庆医科大学袁家岗校区---实习基地（大临床实习/专业实习）</w:t>
      </w:r>
    </w:p>
    <w:p>
      <w:pPr>
        <w:spacing w:line="360" w:lineRule="auto"/>
        <w:ind w:firstLine="480"/>
        <w:rPr>
          <w:rFonts w:cs="仿宋"/>
          <w:sz w:val="24"/>
          <w:szCs w:val="24"/>
          <w:highlight w:val="none"/>
        </w:rPr>
      </w:pPr>
      <w:r>
        <w:rPr>
          <w:rFonts w:hint="eastAsia" w:cs="仿宋"/>
          <w:sz w:val="24"/>
          <w:szCs w:val="24"/>
          <w:highlight w:val="none"/>
        </w:rPr>
        <w:t>根据提前协商的时间确定上车时间和具体地点。</w:t>
      </w:r>
    </w:p>
    <w:p>
      <w:pPr>
        <w:spacing w:line="360" w:lineRule="auto"/>
        <w:ind w:firstLine="480"/>
        <w:rPr>
          <w:rFonts w:cs="仿宋"/>
          <w:sz w:val="24"/>
          <w:szCs w:val="24"/>
          <w:highlight w:val="none"/>
        </w:rPr>
      </w:pPr>
      <w:r>
        <w:rPr>
          <w:rFonts w:hint="eastAsia" w:cs="仿宋"/>
          <w:sz w:val="24"/>
          <w:szCs w:val="24"/>
          <w:highlight w:val="none"/>
        </w:rPr>
        <w:t>6.重庆医科大学缙云校区---口腔医院上清寺院区/北部新院（新生参观医院等活动）</w:t>
      </w:r>
    </w:p>
    <w:p>
      <w:pPr>
        <w:spacing w:line="360" w:lineRule="auto"/>
        <w:ind w:firstLine="480"/>
        <w:rPr>
          <w:rFonts w:cs="仿宋"/>
          <w:sz w:val="24"/>
          <w:szCs w:val="24"/>
          <w:highlight w:val="none"/>
        </w:rPr>
      </w:pPr>
      <w:r>
        <w:rPr>
          <w:rFonts w:hint="eastAsia" w:cs="仿宋"/>
          <w:sz w:val="24"/>
          <w:szCs w:val="24"/>
          <w:highlight w:val="none"/>
        </w:rPr>
        <w:t>根据提前协商的时间确定上车时间和具体地点。</w:t>
      </w:r>
    </w:p>
    <w:p>
      <w:pPr>
        <w:spacing w:line="360" w:lineRule="auto"/>
        <w:ind w:firstLine="480"/>
        <w:rPr>
          <w:rFonts w:cs="仿宋"/>
          <w:sz w:val="24"/>
          <w:szCs w:val="24"/>
          <w:highlight w:val="none"/>
        </w:rPr>
      </w:pPr>
      <w:r>
        <w:rPr>
          <w:rFonts w:hint="eastAsia" w:cs="仿宋"/>
          <w:sz w:val="24"/>
          <w:szCs w:val="24"/>
          <w:highlight w:val="none"/>
        </w:rPr>
        <w:t>7.其他：采购人临时增加的有车需求</w:t>
      </w:r>
    </w:p>
    <w:p>
      <w:pPr>
        <w:spacing w:line="360" w:lineRule="auto"/>
        <w:ind w:firstLine="480"/>
        <w:rPr>
          <w:rFonts w:cs="仿宋"/>
          <w:sz w:val="24"/>
          <w:szCs w:val="24"/>
          <w:highlight w:val="none"/>
        </w:rPr>
      </w:pPr>
      <w:r>
        <w:rPr>
          <w:rFonts w:hint="eastAsia" w:cs="仿宋"/>
          <w:sz w:val="24"/>
          <w:szCs w:val="24"/>
          <w:highlight w:val="none"/>
        </w:rPr>
        <w:t>根据提前协商的时间和地点确定上车时间和具体地点。</w:t>
      </w:r>
    </w:p>
    <w:p>
      <w:pPr>
        <w:spacing w:line="360" w:lineRule="auto"/>
        <w:ind w:firstLine="480"/>
        <w:rPr>
          <w:rFonts w:cs="仿宋"/>
          <w:sz w:val="24"/>
          <w:szCs w:val="24"/>
          <w:highlight w:val="none"/>
        </w:rPr>
      </w:pPr>
      <w:r>
        <w:rPr>
          <w:rFonts w:hint="eastAsia" w:cs="仿宋"/>
          <w:sz w:val="24"/>
          <w:szCs w:val="24"/>
          <w:highlight w:val="none"/>
        </w:rPr>
        <w:t>8.全年用车时间：每年上下学期学生用车月份为：2月—8月，9月至次年1月；其他用车视实际需求而定。</w:t>
      </w:r>
    </w:p>
    <w:p>
      <w:pPr>
        <w:spacing w:line="360" w:lineRule="auto"/>
        <w:ind w:firstLine="480"/>
        <w:rPr>
          <w:rFonts w:cs="仿宋"/>
          <w:sz w:val="24"/>
          <w:szCs w:val="24"/>
          <w:highlight w:val="none"/>
        </w:rPr>
      </w:pPr>
      <w:r>
        <w:rPr>
          <w:rFonts w:hint="eastAsia" w:cs="仿宋"/>
          <w:sz w:val="24"/>
          <w:szCs w:val="24"/>
          <w:highlight w:val="none"/>
        </w:rPr>
        <w:t>9.接送地址：</w:t>
      </w:r>
    </w:p>
    <w:p>
      <w:pPr>
        <w:spacing w:line="360" w:lineRule="auto"/>
        <w:ind w:firstLine="480"/>
        <w:rPr>
          <w:rFonts w:cs="仿宋"/>
          <w:sz w:val="24"/>
          <w:szCs w:val="24"/>
          <w:highlight w:val="none"/>
        </w:rPr>
      </w:pPr>
      <w:r>
        <w:rPr>
          <w:rFonts w:hint="eastAsia" w:cs="仿宋"/>
          <w:sz w:val="24"/>
          <w:szCs w:val="24"/>
          <w:highlight w:val="none"/>
        </w:rPr>
        <w:t>①重庆医科大学袁家岗校区地址：重庆市渝中区医学院路1号；</w:t>
      </w:r>
    </w:p>
    <w:p>
      <w:pPr>
        <w:spacing w:line="360" w:lineRule="auto"/>
        <w:ind w:firstLine="480"/>
        <w:rPr>
          <w:rFonts w:cs="仿宋"/>
          <w:sz w:val="24"/>
          <w:szCs w:val="24"/>
          <w:highlight w:val="none"/>
        </w:rPr>
      </w:pPr>
      <w:r>
        <w:rPr>
          <w:rFonts w:hint="eastAsia" w:cs="仿宋"/>
          <w:sz w:val="24"/>
          <w:szCs w:val="24"/>
          <w:highlight w:val="none"/>
        </w:rPr>
        <w:t>②重庆医科大学缙云校区地址：沙坪坝区大学城中路61号重庆医科大学缙云校区梅苑；</w:t>
      </w:r>
    </w:p>
    <w:p>
      <w:pPr>
        <w:spacing w:line="360" w:lineRule="auto"/>
        <w:ind w:firstLine="480"/>
        <w:rPr>
          <w:rFonts w:cs="仿宋"/>
          <w:sz w:val="24"/>
          <w:szCs w:val="24"/>
          <w:highlight w:val="none"/>
        </w:rPr>
      </w:pPr>
      <w:r>
        <w:rPr>
          <w:rFonts w:hint="eastAsia" w:cs="仿宋"/>
          <w:sz w:val="24"/>
          <w:szCs w:val="24"/>
          <w:highlight w:val="none"/>
        </w:rPr>
        <w:t>③重庆医科大学附属口腔医院北部新院地址：重庆市渝北区松石北路426号；</w:t>
      </w:r>
    </w:p>
    <w:p>
      <w:pPr>
        <w:spacing w:line="360" w:lineRule="auto"/>
        <w:ind w:firstLine="480"/>
        <w:rPr>
          <w:rFonts w:cs="仿宋"/>
          <w:sz w:val="24"/>
          <w:szCs w:val="24"/>
          <w:highlight w:val="none"/>
        </w:rPr>
      </w:pPr>
      <w:r>
        <w:rPr>
          <w:rFonts w:hint="eastAsia" w:cs="仿宋"/>
          <w:sz w:val="24"/>
          <w:szCs w:val="24"/>
          <w:highlight w:val="none"/>
        </w:rPr>
        <w:t>④重庆医科大学附属口腔医院上清寺院区地址：重庆市渝中区上清寺路7号。</w:t>
      </w:r>
    </w:p>
    <w:p>
      <w:pPr>
        <w:spacing w:line="360" w:lineRule="auto"/>
        <w:ind w:firstLine="480"/>
        <w:rPr>
          <w:rFonts w:cs="仿宋"/>
          <w:sz w:val="24"/>
          <w:szCs w:val="24"/>
          <w:highlight w:val="none"/>
        </w:rPr>
      </w:pPr>
      <w:r>
        <w:rPr>
          <w:rFonts w:hint="eastAsia" w:cs="仿宋"/>
          <w:sz w:val="24"/>
          <w:szCs w:val="24"/>
          <w:highlight w:val="none"/>
        </w:rPr>
        <w:t>⑤实验课院外实践授课基地/大临床实习点：以口腔医院教学用车安排为准（主城区内）。</w:t>
      </w:r>
    </w:p>
    <w:p>
      <w:pPr>
        <w:spacing w:line="360" w:lineRule="auto"/>
        <w:ind w:firstLine="480"/>
        <w:rPr>
          <w:rFonts w:cs="仿宋"/>
          <w:sz w:val="24"/>
          <w:szCs w:val="24"/>
          <w:highlight w:val="none"/>
        </w:rPr>
      </w:pPr>
      <w:r>
        <w:rPr>
          <w:rFonts w:hint="eastAsia" w:cs="仿宋"/>
          <w:sz w:val="24"/>
          <w:szCs w:val="24"/>
          <w:highlight w:val="none"/>
        </w:rPr>
        <w:t>⑥采购人指定的其他地点。</w:t>
      </w:r>
    </w:p>
    <w:p>
      <w:pPr>
        <w:spacing w:line="360" w:lineRule="auto"/>
        <w:ind w:firstLine="480"/>
        <w:rPr>
          <w:szCs w:val="24"/>
          <w:highlight w:val="none"/>
        </w:rPr>
      </w:pPr>
      <w:r>
        <w:rPr>
          <w:rFonts w:hint="eastAsia" w:cs="仿宋"/>
          <w:sz w:val="24"/>
          <w:szCs w:val="24"/>
          <w:highlight w:val="none"/>
        </w:rPr>
        <w:t>10.学生用车车次安排（单位：车次）（注：以下</w:t>
      </w:r>
      <w:r>
        <w:rPr>
          <w:rFonts w:hint="eastAsia" w:cs="宋体"/>
          <w:sz w:val="24"/>
          <w:szCs w:val="24"/>
          <w:highlight w:val="none"/>
        </w:rPr>
        <w:t>为一年期的车次初步计划，供参考，合同期内具体车次安排以采购人通知为准。</w:t>
      </w:r>
      <w:r>
        <w:rPr>
          <w:rFonts w:hint="eastAsia" w:cs="仿宋"/>
          <w:sz w:val="24"/>
          <w:szCs w:val="24"/>
          <w:highlight w:val="none"/>
        </w:rPr>
        <w:t>）</w:t>
      </w:r>
    </w:p>
    <w:p>
      <w:pPr>
        <w:spacing w:line="360" w:lineRule="auto"/>
        <w:ind w:firstLine="480"/>
        <w:jc w:val="center"/>
        <w:rPr>
          <w:rFonts w:cs="仿宋"/>
          <w:sz w:val="28"/>
          <w:szCs w:val="28"/>
          <w:highlight w:val="none"/>
        </w:rPr>
      </w:pPr>
      <w:r>
        <w:rPr>
          <w:rFonts w:hint="eastAsia" w:cs="仿宋"/>
          <w:sz w:val="24"/>
          <w:szCs w:val="24"/>
          <w:highlight w:val="none"/>
        </w:rPr>
        <w:t>口腔医学院教学用车安排表</w:t>
      </w:r>
      <w:r>
        <w:rPr>
          <w:rFonts w:hint="eastAsia"/>
          <w:sz w:val="28"/>
          <w:szCs w:val="28"/>
          <w:highlight w:val="none"/>
        </w:rPr>
        <w:t>（</w:t>
      </w:r>
      <w:r>
        <w:rPr>
          <w:sz w:val="28"/>
          <w:szCs w:val="28"/>
          <w:highlight w:val="none"/>
        </w:rPr>
        <w:t>往返为一</w:t>
      </w:r>
      <w:r>
        <w:rPr>
          <w:rFonts w:hint="eastAsia"/>
          <w:sz w:val="28"/>
          <w:szCs w:val="28"/>
          <w:highlight w:val="none"/>
        </w:rPr>
        <w:t>车</w:t>
      </w:r>
      <w:r>
        <w:rPr>
          <w:sz w:val="28"/>
          <w:szCs w:val="28"/>
          <w:highlight w:val="none"/>
        </w:rPr>
        <w:t>次）</w:t>
      </w:r>
    </w:p>
    <w:tbl>
      <w:tblPr>
        <w:tblStyle w:val="10"/>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19"/>
        <w:gridCol w:w="768"/>
        <w:gridCol w:w="916"/>
        <w:gridCol w:w="917"/>
        <w:gridCol w:w="802"/>
        <w:gridCol w:w="982"/>
        <w:gridCol w:w="802"/>
        <w:gridCol w:w="916"/>
        <w:gridCol w:w="802"/>
        <w:gridCol w:w="990"/>
        <w:gridCol w:w="709"/>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jc w:val="center"/>
        </w:trPr>
        <w:tc>
          <w:tcPr>
            <w:tcW w:w="619" w:type="dxa"/>
            <w:tcBorders>
              <w:tl2br w:val="nil"/>
              <w:tr2bl w:val="nil"/>
            </w:tcBorders>
            <w:noWrap/>
            <w:vAlign w:val="center"/>
          </w:tcPr>
          <w:p>
            <w:pP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项目</w:t>
            </w:r>
          </w:p>
        </w:tc>
        <w:tc>
          <w:tcPr>
            <w:tcW w:w="768" w:type="dxa"/>
            <w:tcBorders>
              <w:tl2br w:val="nil"/>
              <w:tr2bl w:val="nil"/>
            </w:tcBorders>
            <w:noWrap/>
            <w:vAlign w:val="center"/>
          </w:tcPr>
          <w:p>
            <w:pPr>
              <w:widowControl/>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时间段</w:t>
            </w:r>
          </w:p>
        </w:tc>
        <w:tc>
          <w:tcPr>
            <w:tcW w:w="1833"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上午</w:t>
            </w:r>
          </w:p>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（早上来-中午回）</w:t>
            </w:r>
          </w:p>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7:00/7:10-12:00</w:t>
            </w:r>
          </w:p>
        </w:tc>
        <w:tc>
          <w:tcPr>
            <w:tcW w:w="1784"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下午</w:t>
            </w:r>
          </w:p>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（中午来-下午回）</w:t>
            </w:r>
          </w:p>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12:30/13:00-17:30</w:t>
            </w:r>
          </w:p>
        </w:tc>
        <w:tc>
          <w:tcPr>
            <w:tcW w:w="1718"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全天</w:t>
            </w:r>
          </w:p>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（早上来-下午回） 7:10-17:30</w:t>
            </w:r>
          </w:p>
        </w:tc>
        <w:tc>
          <w:tcPr>
            <w:tcW w:w="2501" w:type="dxa"/>
            <w:gridSpan w:val="3"/>
            <w:tcBorders>
              <w:tl2br w:val="nil"/>
              <w:tr2bl w:val="nil"/>
            </w:tcBorders>
            <w:noWrap/>
            <w:vAlign w:val="center"/>
          </w:tcPr>
          <w:p>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时间根据双方协商而定</w:t>
            </w:r>
          </w:p>
        </w:tc>
        <w:tc>
          <w:tcPr>
            <w:tcW w:w="707" w:type="dxa"/>
            <w:tcBorders>
              <w:tl2br w:val="nil"/>
              <w:tr2bl w:val="nil"/>
            </w:tcBorders>
            <w:noWrap/>
          </w:tcPr>
          <w:p>
            <w:pPr>
              <w:ind w:firstLine="420"/>
              <w:rPr>
                <w:rFonts w:ascii="方正仿宋_GBK" w:hAnsi="宋体" w:eastAsia="方正仿宋_GBK"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5"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座次</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路线</w:t>
            </w:r>
          </w:p>
        </w:tc>
        <w:tc>
          <w:tcPr>
            <w:tcW w:w="916"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w:t>
            </w:r>
          </w:p>
        </w:tc>
        <w:tc>
          <w:tcPr>
            <w:tcW w:w="917"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袁家岗校区-上/北/社区</w:t>
            </w:r>
          </w:p>
        </w:tc>
        <w:tc>
          <w:tcPr>
            <w:tcW w:w="802"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w:t>
            </w:r>
          </w:p>
        </w:tc>
        <w:tc>
          <w:tcPr>
            <w:tcW w:w="982"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袁家岗校区-上/北/社区</w:t>
            </w:r>
          </w:p>
        </w:tc>
        <w:tc>
          <w:tcPr>
            <w:tcW w:w="802"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w:t>
            </w:r>
          </w:p>
        </w:tc>
        <w:tc>
          <w:tcPr>
            <w:tcW w:w="916"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袁家岗校区-上/北</w:t>
            </w:r>
          </w:p>
        </w:tc>
        <w:tc>
          <w:tcPr>
            <w:tcW w:w="802" w:type="dxa"/>
            <w:tcBorders>
              <w:tl2br w:val="nil"/>
              <w:tr2bl w:val="nil"/>
            </w:tcBorders>
            <w:noWrap/>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缙云校区-袁家岗</w:t>
            </w:r>
          </w:p>
        </w:tc>
        <w:tc>
          <w:tcPr>
            <w:tcW w:w="990" w:type="dxa"/>
            <w:tcBorders>
              <w:tl2br w:val="nil"/>
              <w:tr2bl w:val="nil"/>
            </w:tcBorders>
            <w:noWrap/>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袁家岗-实习基地（上清寺/花溪医院）</w:t>
            </w:r>
          </w:p>
        </w:tc>
        <w:tc>
          <w:tcPr>
            <w:tcW w:w="709"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w:t>
            </w:r>
          </w:p>
        </w:tc>
        <w:tc>
          <w:tcPr>
            <w:tcW w:w="707"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38座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车次</w:t>
            </w:r>
          </w:p>
        </w:tc>
        <w:tc>
          <w:tcPr>
            <w:tcW w:w="916"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6</w:t>
            </w:r>
          </w:p>
        </w:tc>
        <w:tc>
          <w:tcPr>
            <w:tcW w:w="917"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160</w:t>
            </w:r>
          </w:p>
        </w:tc>
        <w:tc>
          <w:tcPr>
            <w:tcW w:w="80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2</w:t>
            </w:r>
          </w:p>
        </w:tc>
        <w:tc>
          <w:tcPr>
            <w:tcW w:w="98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3</w:t>
            </w:r>
            <w:r>
              <w:rPr>
                <w:rFonts w:hint="default" w:ascii="方正仿宋_GBK" w:hAnsi="宋体" w:eastAsia="方正仿宋_GBK" w:cs="宋体"/>
                <w:sz w:val="21"/>
                <w:szCs w:val="21"/>
                <w:highlight w:val="none"/>
              </w:rPr>
              <w:t>6</w:t>
            </w:r>
          </w:p>
        </w:tc>
        <w:tc>
          <w:tcPr>
            <w:tcW w:w="80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2</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11</w:t>
            </w:r>
          </w:p>
        </w:tc>
        <w:tc>
          <w:tcPr>
            <w:tcW w:w="802" w:type="dxa"/>
            <w:tcBorders>
              <w:tl2br w:val="nil"/>
              <w:tr2bl w:val="nil"/>
            </w:tcBorders>
            <w:noWrap/>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2</w:t>
            </w:r>
          </w:p>
        </w:tc>
        <w:tc>
          <w:tcPr>
            <w:tcW w:w="990" w:type="dxa"/>
            <w:tcBorders>
              <w:tl2br w:val="nil"/>
              <w:tr2bl w:val="nil"/>
            </w:tcBorders>
            <w:noWrap/>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5</w:t>
            </w:r>
          </w:p>
        </w:tc>
        <w:tc>
          <w:tcPr>
            <w:tcW w:w="709" w:type="dxa"/>
            <w:tcBorders>
              <w:tl2br w:val="nil"/>
              <w:tr2bl w:val="nil"/>
            </w:tcBorders>
            <w:noWrap/>
            <w:vAlign w:val="center"/>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2</w:t>
            </w:r>
          </w:p>
        </w:tc>
        <w:tc>
          <w:tcPr>
            <w:tcW w:w="707" w:type="dxa"/>
            <w:tcBorders>
              <w:tl2br w:val="nil"/>
              <w:tr2bl w:val="nil"/>
            </w:tcBorders>
            <w:noWrap/>
            <w:vAlign w:val="center"/>
          </w:tcPr>
          <w:p>
            <w:pPr>
              <w:ind w:left="4" w:leftChars="-20" w:hanging="46" w:hangingChars="22"/>
              <w:jc w:val="center"/>
              <w:rPr>
                <w:rFonts w:hint="default"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22</w:t>
            </w:r>
            <w:r>
              <w:rPr>
                <w:rFonts w:hint="default" w:ascii="方正仿宋_GBK" w:hAnsi="宋体" w:eastAsia="方正仿宋_GBK" w:cs="宋体"/>
                <w:sz w:val="21"/>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619" w:type="dxa"/>
            <w:tcBorders>
              <w:tl2br w:val="nil"/>
              <w:tr2bl w:val="nil"/>
            </w:tcBorders>
            <w:noWrap/>
            <w:vAlign w:val="center"/>
          </w:tcPr>
          <w:p>
            <w:pPr>
              <w:widowControl/>
              <w:ind w:left="5" w:leftChars="-16" w:hanging="39" w:hangingChars="19"/>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48座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车次</w:t>
            </w:r>
          </w:p>
        </w:tc>
        <w:tc>
          <w:tcPr>
            <w:tcW w:w="916"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2</w:t>
            </w:r>
          </w:p>
        </w:tc>
        <w:tc>
          <w:tcPr>
            <w:tcW w:w="917"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22</w:t>
            </w:r>
          </w:p>
        </w:tc>
        <w:tc>
          <w:tcPr>
            <w:tcW w:w="80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6</w:t>
            </w:r>
          </w:p>
        </w:tc>
        <w:tc>
          <w:tcPr>
            <w:tcW w:w="98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177</w:t>
            </w:r>
          </w:p>
        </w:tc>
        <w:tc>
          <w:tcPr>
            <w:tcW w:w="80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2</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6</w:t>
            </w:r>
          </w:p>
        </w:tc>
        <w:tc>
          <w:tcPr>
            <w:tcW w:w="802" w:type="dxa"/>
            <w:tcBorders>
              <w:tl2br w:val="nil"/>
              <w:tr2bl w:val="nil"/>
            </w:tcBorders>
            <w:noWrap/>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w:t>
            </w:r>
          </w:p>
        </w:tc>
        <w:tc>
          <w:tcPr>
            <w:tcW w:w="990" w:type="dxa"/>
            <w:tcBorders>
              <w:tl2br w:val="nil"/>
              <w:tr2bl w:val="nil"/>
            </w:tcBorders>
            <w:noWrap/>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w:t>
            </w:r>
          </w:p>
        </w:tc>
        <w:tc>
          <w:tcPr>
            <w:tcW w:w="709" w:type="dxa"/>
            <w:tcBorders>
              <w:tl2br w:val="nil"/>
              <w:tr2bl w:val="nil"/>
            </w:tcBorders>
            <w:noWrap/>
            <w:vAlign w:val="center"/>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w:t>
            </w:r>
          </w:p>
        </w:tc>
        <w:tc>
          <w:tcPr>
            <w:tcW w:w="707" w:type="dxa"/>
            <w:tcBorders>
              <w:tl2br w:val="nil"/>
              <w:tr2bl w:val="nil"/>
            </w:tcBorders>
            <w:noWrap/>
            <w:vAlign w:val="center"/>
          </w:tcPr>
          <w:p>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54座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车次</w:t>
            </w:r>
          </w:p>
        </w:tc>
        <w:tc>
          <w:tcPr>
            <w:tcW w:w="916"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917"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80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98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802"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916" w:type="dxa"/>
            <w:tcBorders>
              <w:tl2br w:val="nil"/>
              <w:tr2bl w:val="nil"/>
            </w:tcBorders>
            <w:noWrap/>
            <w:vAlign w:val="center"/>
          </w:tcPr>
          <w:p>
            <w:pPr>
              <w:widowControl/>
              <w:ind w:firstLine="420"/>
              <w:jc w:val="center"/>
              <w:textAlignment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802" w:type="dxa"/>
            <w:tcBorders>
              <w:tl2br w:val="nil"/>
              <w:tr2bl w:val="nil"/>
            </w:tcBorders>
            <w:noWrap/>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0</w:t>
            </w:r>
          </w:p>
        </w:tc>
        <w:tc>
          <w:tcPr>
            <w:tcW w:w="990" w:type="dxa"/>
            <w:tcBorders>
              <w:tl2br w:val="nil"/>
              <w:tr2bl w:val="nil"/>
            </w:tcBorders>
            <w:noWrap/>
          </w:tcPr>
          <w:p>
            <w:pPr>
              <w:ind w:firstLine="420"/>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0</w:t>
            </w:r>
          </w:p>
        </w:tc>
        <w:tc>
          <w:tcPr>
            <w:tcW w:w="709" w:type="dxa"/>
            <w:tcBorders>
              <w:tl2br w:val="nil"/>
              <w:tr2bl w:val="nil"/>
            </w:tcBorders>
            <w:noWrap/>
            <w:vAlign w:val="center"/>
          </w:tcPr>
          <w:p>
            <w:pPr>
              <w:ind w:firstLine="420"/>
              <w:jc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0</w:t>
            </w:r>
          </w:p>
        </w:tc>
        <w:tc>
          <w:tcPr>
            <w:tcW w:w="707" w:type="dxa"/>
            <w:tcBorders>
              <w:tl2br w:val="nil"/>
              <w:tr2bl w:val="nil"/>
            </w:tcBorders>
            <w:noWrap/>
            <w:vAlign w:val="center"/>
          </w:tcPr>
          <w:p>
            <w:pPr>
              <w:jc w:val="center"/>
              <w:rPr>
                <w:rFonts w:hint="default" w:ascii="方正仿宋_GBK" w:hAnsi="宋体" w:eastAsia="方正仿宋_GBK" w:cs="宋体"/>
                <w:sz w:val="21"/>
                <w:szCs w:val="21"/>
                <w:highlight w:val="none"/>
              </w:rPr>
            </w:pPr>
            <w:r>
              <w:rPr>
                <w:rFonts w:ascii="方正仿宋_GBK" w:hAnsi="宋体" w:eastAsia="方正仿宋_GBK" w:cs="宋体"/>
                <w:sz w:val="21"/>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备注：</w:t>
            </w:r>
          </w:p>
        </w:tc>
        <w:tc>
          <w:tcPr>
            <w:tcW w:w="2601" w:type="dxa"/>
            <w:gridSpan w:val="3"/>
            <w:tcBorders>
              <w:tl2br w:val="nil"/>
              <w:tr2bl w:val="nil"/>
            </w:tcBorders>
            <w:noWrap/>
            <w:vAlign w:val="center"/>
          </w:tcPr>
          <w:p>
            <w:pPr>
              <w:widowControl/>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实际增减不超过总车次10%</w:t>
            </w:r>
          </w:p>
        </w:tc>
        <w:tc>
          <w:tcPr>
            <w:tcW w:w="802" w:type="dxa"/>
            <w:tcBorders>
              <w:tl2br w:val="nil"/>
              <w:tr2bl w:val="nil"/>
            </w:tcBorders>
            <w:noWrap/>
            <w:vAlign w:val="center"/>
          </w:tcPr>
          <w:p>
            <w:pPr>
              <w:ind w:firstLine="420"/>
              <w:rPr>
                <w:rFonts w:ascii="方正仿宋_GBK" w:hAnsi="宋体" w:eastAsia="方正仿宋_GBK" w:cs="宋体"/>
                <w:sz w:val="21"/>
                <w:szCs w:val="21"/>
                <w:highlight w:val="none"/>
              </w:rPr>
            </w:pPr>
          </w:p>
        </w:tc>
        <w:tc>
          <w:tcPr>
            <w:tcW w:w="982" w:type="dxa"/>
            <w:tcBorders>
              <w:tl2br w:val="nil"/>
              <w:tr2bl w:val="nil"/>
            </w:tcBorders>
            <w:noWrap/>
            <w:vAlign w:val="center"/>
          </w:tcPr>
          <w:p>
            <w:pPr>
              <w:ind w:firstLine="420"/>
              <w:rPr>
                <w:rFonts w:ascii="方正仿宋_GBK" w:hAnsi="宋体" w:eastAsia="方正仿宋_GBK" w:cs="宋体"/>
                <w:sz w:val="21"/>
                <w:szCs w:val="21"/>
                <w:highlight w:val="none"/>
              </w:rPr>
            </w:pPr>
          </w:p>
        </w:tc>
        <w:tc>
          <w:tcPr>
            <w:tcW w:w="802" w:type="dxa"/>
            <w:tcBorders>
              <w:tl2br w:val="nil"/>
              <w:tr2bl w:val="nil"/>
            </w:tcBorders>
            <w:noWrap/>
            <w:vAlign w:val="center"/>
          </w:tcPr>
          <w:p>
            <w:pPr>
              <w:ind w:firstLine="420"/>
              <w:rPr>
                <w:rFonts w:ascii="方正仿宋_GBK" w:hAnsi="宋体" w:eastAsia="方正仿宋_GBK" w:cs="宋体"/>
                <w:sz w:val="21"/>
                <w:szCs w:val="21"/>
                <w:highlight w:val="none"/>
              </w:rPr>
            </w:pPr>
          </w:p>
        </w:tc>
        <w:tc>
          <w:tcPr>
            <w:tcW w:w="916" w:type="dxa"/>
            <w:tcBorders>
              <w:tl2br w:val="nil"/>
              <w:tr2bl w:val="nil"/>
            </w:tcBorders>
            <w:noWrap/>
            <w:vAlign w:val="center"/>
          </w:tcPr>
          <w:p>
            <w:pPr>
              <w:ind w:firstLine="420"/>
              <w:rPr>
                <w:rFonts w:ascii="方正仿宋_GBK" w:hAnsi="宋体" w:eastAsia="方正仿宋_GBK" w:cs="宋体"/>
                <w:sz w:val="21"/>
                <w:szCs w:val="21"/>
                <w:highlight w:val="none"/>
              </w:rPr>
            </w:pPr>
          </w:p>
        </w:tc>
        <w:tc>
          <w:tcPr>
            <w:tcW w:w="802" w:type="dxa"/>
            <w:tcBorders>
              <w:tl2br w:val="nil"/>
              <w:tr2bl w:val="nil"/>
            </w:tcBorders>
            <w:noWrap/>
          </w:tcPr>
          <w:p>
            <w:pPr>
              <w:widowControl/>
              <w:ind w:firstLine="420"/>
              <w:textAlignment w:val="center"/>
              <w:rPr>
                <w:rFonts w:ascii="方正仿宋_GBK" w:hAnsi="宋体" w:eastAsia="方正仿宋_GBK" w:cs="宋体"/>
                <w:b/>
                <w:sz w:val="21"/>
                <w:szCs w:val="21"/>
                <w:highlight w:val="none"/>
              </w:rPr>
            </w:pPr>
          </w:p>
        </w:tc>
        <w:tc>
          <w:tcPr>
            <w:tcW w:w="990" w:type="dxa"/>
            <w:tcBorders>
              <w:tl2br w:val="nil"/>
              <w:tr2bl w:val="nil"/>
            </w:tcBorders>
            <w:noWrap/>
          </w:tcPr>
          <w:p>
            <w:pPr>
              <w:widowControl/>
              <w:ind w:firstLine="420"/>
              <w:textAlignment w:val="center"/>
              <w:rPr>
                <w:rFonts w:ascii="方正仿宋_GBK" w:hAnsi="宋体" w:eastAsia="方正仿宋_GBK" w:cs="宋体"/>
                <w:b/>
                <w:sz w:val="21"/>
                <w:szCs w:val="21"/>
                <w:highlight w:val="none"/>
              </w:rPr>
            </w:pPr>
          </w:p>
        </w:tc>
        <w:tc>
          <w:tcPr>
            <w:tcW w:w="709" w:type="dxa"/>
            <w:tcBorders>
              <w:tl2br w:val="nil"/>
              <w:tr2bl w:val="nil"/>
            </w:tcBorders>
            <w:noWrap/>
            <w:vAlign w:val="center"/>
          </w:tcPr>
          <w:p>
            <w:pPr>
              <w:widowControl/>
              <w:jc w:val="center"/>
              <w:textAlignment w:val="center"/>
              <w:rPr>
                <w:rFonts w:ascii="方正仿宋_GBK" w:hAnsi="宋体" w:eastAsia="方正仿宋_GBK" w:cs="宋体"/>
                <w:b/>
                <w:sz w:val="21"/>
                <w:szCs w:val="21"/>
                <w:highlight w:val="none"/>
              </w:rPr>
            </w:pPr>
            <w:r>
              <w:rPr>
                <w:rFonts w:hint="eastAsia" w:ascii="方正仿宋_GBK" w:hAnsi="宋体" w:eastAsia="方正仿宋_GBK" w:cs="宋体"/>
                <w:b/>
                <w:sz w:val="21"/>
                <w:szCs w:val="21"/>
                <w:highlight w:val="none"/>
              </w:rPr>
              <w:t>总计：</w:t>
            </w:r>
          </w:p>
        </w:tc>
        <w:tc>
          <w:tcPr>
            <w:tcW w:w="707" w:type="dxa"/>
            <w:tcBorders>
              <w:tl2br w:val="nil"/>
              <w:tr2bl w:val="nil"/>
            </w:tcBorders>
            <w:noWrap/>
            <w:vAlign w:val="center"/>
          </w:tcPr>
          <w:p>
            <w:pPr>
              <w:widowControl/>
              <w:ind w:left="4" w:leftChars="-20" w:hanging="46" w:hangingChars="22"/>
              <w:jc w:val="center"/>
              <w:textAlignment w:val="center"/>
              <w:rPr>
                <w:rFonts w:ascii="方正仿宋_GBK" w:hAnsi="宋体" w:eastAsia="方正仿宋_GBK" w:cs="宋体"/>
                <w:b/>
                <w:sz w:val="21"/>
                <w:szCs w:val="21"/>
                <w:highlight w:val="none"/>
              </w:rPr>
            </w:pPr>
            <w:r>
              <w:rPr>
                <w:rFonts w:hint="eastAsia" w:ascii="方正仿宋_GBK" w:hAnsi="宋体" w:eastAsia="方正仿宋_GBK" w:cs="宋体"/>
                <w:b/>
                <w:sz w:val="21"/>
                <w:szCs w:val="21"/>
                <w:highlight w:val="none"/>
              </w:rPr>
              <w:t>450</w:t>
            </w:r>
          </w:p>
        </w:tc>
      </w:tr>
    </w:tbl>
    <w:p>
      <w:pPr>
        <w:ind w:firstLine="480"/>
        <w:rPr>
          <w:rFonts w:hint="eastAsia" w:cs="仿宋"/>
          <w:sz w:val="24"/>
          <w:szCs w:val="24"/>
          <w:highlight w:val="none"/>
        </w:rPr>
      </w:pPr>
    </w:p>
    <w:p>
      <w:pPr>
        <w:ind w:firstLine="480"/>
        <w:rPr>
          <w:rFonts w:hint="eastAsia" w:cs="仿宋"/>
          <w:sz w:val="24"/>
          <w:szCs w:val="24"/>
          <w:highlight w:val="none"/>
        </w:rPr>
      </w:pPr>
      <w:r>
        <w:rPr>
          <w:rFonts w:hint="eastAsia" w:cs="仿宋"/>
          <w:sz w:val="24"/>
          <w:szCs w:val="24"/>
          <w:highlight w:val="none"/>
        </w:rPr>
        <w:t>（</w:t>
      </w:r>
      <w:r>
        <w:rPr>
          <w:rFonts w:hint="eastAsia" w:cs="仿宋"/>
          <w:sz w:val="24"/>
          <w:szCs w:val="24"/>
          <w:highlight w:val="none"/>
          <w:lang w:eastAsia="zh-CN"/>
        </w:rPr>
        <w:t>四</w:t>
      </w:r>
      <w:r>
        <w:rPr>
          <w:rFonts w:hint="eastAsia" w:cs="仿宋"/>
          <w:sz w:val="24"/>
          <w:szCs w:val="24"/>
          <w:highlight w:val="none"/>
        </w:rPr>
        <w:t>）</w:t>
      </w:r>
      <w:r>
        <w:rPr>
          <w:rFonts w:hint="eastAsia" w:cs="仿宋"/>
          <w:sz w:val="24"/>
          <w:szCs w:val="24"/>
          <w:highlight w:val="none"/>
          <w:lang w:eastAsia="zh-CN"/>
        </w:rPr>
        <w:t>临时</w:t>
      </w:r>
      <w:r>
        <w:rPr>
          <w:rFonts w:hint="eastAsia" w:cs="仿宋"/>
          <w:sz w:val="24"/>
          <w:szCs w:val="24"/>
          <w:highlight w:val="none"/>
        </w:rPr>
        <w:t>用车安排</w:t>
      </w:r>
    </w:p>
    <w:p>
      <w:pPr>
        <w:spacing w:line="360" w:lineRule="auto"/>
        <w:ind w:firstLine="480"/>
        <w:rPr>
          <w:rFonts w:hint="eastAsia" w:eastAsia="宋体" w:cs="仿宋"/>
          <w:sz w:val="24"/>
          <w:szCs w:val="24"/>
          <w:highlight w:val="none"/>
          <w:lang w:eastAsia="zh-CN"/>
        </w:rPr>
      </w:pPr>
      <w:r>
        <w:rPr>
          <w:rFonts w:hint="eastAsia" w:cs="仿宋"/>
          <w:sz w:val="24"/>
          <w:szCs w:val="24"/>
          <w:highlight w:val="none"/>
        </w:rPr>
        <w:t>根据提前协商的时间和地点确定上车时间和具体地点。</w:t>
      </w:r>
    </w:p>
    <w:p>
      <w:pPr>
        <w:ind w:firstLine="480"/>
        <w:rPr>
          <w:highlight w:val="none"/>
        </w:rPr>
      </w:pPr>
    </w:p>
    <w:p>
      <w:pPr>
        <w:pStyle w:val="2"/>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4"/>
      <w:bookmarkEnd w:id="5"/>
      <w:bookmarkStart w:id="7" w:name="_Toc505608529"/>
    </w:p>
    <w:bookmarkEnd w:id="6"/>
    <w:bookmarkEnd w:id="7"/>
    <w:p>
      <w:pPr>
        <w:pStyle w:val="3"/>
        <w:spacing w:line="360" w:lineRule="auto"/>
        <w:rPr>
          <w:highlight w:val="none"/>
        </w:rPr>
      </w:pPr>
      <w:bookmarkStart w:id="8" w:name="_Toc98942883"/>
      <w:r>
        <w:rPr>
          <w:rFonts w:hint="eastAsia"/>
          <w:highlight w:val="none"/>
        </w:rPr>
        <w:t>一、实施时间、实施地点及验收</w:t>
      </w:r>
      <w:bookmarkEnd w:id="8"/>
      <w:r>
        <w:rPr>
          <w:rFonts w:hint="eastAsia"/>
          <w:highlight w:val="none"/>
        </w:rPr>
        <w:t>标准</w:t>
      </w:r>
    </w:p>
    <w:p>
      <w:pPr>
        <w:snapToGrid w:val="0"/>
        <w:spacing w:line="360" w:lineRule="auto"/>
        <w:ind w:firstLine="480" w:firstLineChars="200"/>
        <w:rPr>
          <w:sz w:val="24"/>
          <w:highlight w:val="none"/>
        </w:rPr>
      </w:pPr>
      <w:bookmarkStart w:id="9" w:name="_Toc98942884"/>
      <w:bookmarkStart w:id="10" w:name="_Toc505608530"/>
      <w:bookmarkStart w:id="11" w:name="_Toc267320050"/>
      <w:r>
        <w:rPr>
          <w:rFonts w:hint="eastAsia"/>
          <w:sz w:val="24"/>
          <w:highlight w:val="none"/>
        </w:rPr>
        <w:t>（一）实施时间</w:t>
      </w:r>
    </w:p>
    <w:p>
      <w:pPr>
        <w:snapToGrid w:val="0"/>
        <w:spacing w:line="360" w:lineRule="auto"/>
        <w:ind w:firstLine="480" w:firstLineChars="200"/>
        <w:rPr>
          <w:sz w:val="24"/>
          <w:highlight w:val="none"/>
        </w:rPr>
      </w:pPr>
      <w:r>
        <w:rPr>
          <w:rFonts w:hint="eastAsia"/>
          <w:sz w:val="24"/>
          <w:highlight w:val="none"/>
        </w:rPr>
        <w:t>合同签订后30日内开始实施，服务期1年。</w:t>
      </w:r>
    </w:p>
    <w:p>
      <w:pPr>
        <w:snapToGrid w:val="0"/>
        <w:spacing w:line="360" w:lineRule="auto"/>
        <w:ind w:firstLine="480" w:firstLineChars="200"/>
        <w:rPr>
          <w:sz w:val="24"/>
          <w:highlight w:val="none"/>
        </w:rPr>
      </w:pPr>
      <w:r>
        <w:rPr>
          <w:rFonts w:hint="eastAsia"/>
          <w:sz w:val="24"/>
          <w:highlight w:val="none"/>
        </w:rPr>
        <w:t>（二）实施地点</w:t>
      </w:r>
    </w:p>
    <w:p>
      <w:pPr>
        <w:snapToGrid w:val="0"/>
        <w:spacing w:line="360" w:lineRule="auto"/>
        <w:ind w:firstLine="480" w:firstLineChars="200"/>
        <w:rPr>
          <w:sz w:val="24"/>
          <w:highlight w:val="none"/>
        </w:rPr>
      </w:pPr>
      <w:r>
        <w:rPr>
          <w:rFonts w:hint="eastAsia"/>
          <w:sz w:val="24"/>
          <w:highlight w:val="none"/>
        </w:rPr>
        <w:t>采购人指定地点（重庆市范围内）。</w:t>
      </w:r>
    </w:p>
    <w:p>
      <w:pPr>
        <w:snapToGrid w:val="0"/>
        <w:spacing w:line="360" w:lineRule="auto"/>
        <w:ind w:firstLine="480" w:firstLineChars="200"/>
        <w:rPr>
          <w:sz w:val="24"/>
          <w:highlight w:val="none"/>
        </w:rPr>
      </w:pPr>
      <w:r>
        <w:rPr>
          <w:rFonts w:hint="eastAsia"/>
          <w:sz w:val="24"/>
          <w:highlight w:val="none"/>
        </w:rPr>
        <w:t>（三）验收标准</w:t>
      </w:r>
    </w:p>
    <w:p>
      <w:pPr>
        <w:snapToGrid w:val="0"/>
        <w:spacing w:line="360" w:lineRule="auto"/>
        <w:ind w:firstLine="480" w:firstLineChars="200"/>
        <w:rPr>
          <w:sz w:val="24"/>
          <w:highlight w:val="none"/>
        </w:rPr>
      </w:pPr>
      <w:r>
        <w:rPr>
          <w:rFonts w:hint="eastAsia"/>
          <w:sz w:val="24"/>
          <w:highlight w:val="none"/>
        </w:rPr>
        <w:t>1. 除因自然灾害、交通管制等不可抗力因素造成接送车辆无法按时到达外，因中标人原因造成的延误均由中标人承担相应责任；以采购人要求的出发地点和规定发车时间为准。车辆到达规定发车地点的时间超过规定发车时间10分钟以内的，采购人不追究中标人的责任；迟到30分钟以内本车次费用不算；迟到30分钟（含）以上的，中标人按该车次用车价格的三倍向采购人支付违约金；中标人该车次用车没有派出的，中标人按该车次用车价格的五倍向采购人支付违约金并赔偿采购人因耽误该车次造成的直接损失，如学生误餐费、替代车辆相关费用等。如以上不同情况累计发生3次及以上，采购人有权终止协议。在采购人未找到替代中标人的单位签订用车协议时，投标人有义务继续履行协议，接送采购人学生用车。</w:t>
      </w:r>
    </w:p>
    <w:p>
      <w:pPr>
        <w:snapToGrid w:val="0"/>
        <w:spacing w:line="360" w:lineRule="auto"/>
        <w:ind w:firstLine="480" w:firstLineChars="200"/>
        <w:rPr>
          <w:sz w:val="24"/>
          <w:highlight w:val="none"/>
        </w:rPr>
      </w:pPr>
      <w:r>
        <w:rPr>
          <w:rFonts w:hint="eastAsia"/>
          <w:sz w:val="24"/>
          <w:highlight w:val="none"/>
        </w:rPr>
        <w:t>2.中标人提供的车辆须技术状况良好，符合《中华人民共和国道路运输条例》、《中华人民共和国道路交通安全法》、《gb7258-2012机动车运行安全技术条件》的要求。</w:t>
      </w:r>
    </w:p>
    <w:p>
      <w:pPr>
        <w:snapToGrid w:val="0"/>
        <w:spacing w:line="360" w:lineRule="auto"/>
        <w:ind w:firstLine="480" w:firstLineChars="200"/>
        <w:rPr>
          <w:sz w:val="24"/>
          <w:highlight w:val="none"/>
        </w:rPr>
      </w:pPr>
      <w:r>
        <w:rPr>
          <w:rFonts w:hint="eastAsia"/>
          <w:sz w:val="24"/>
          <w:highlight w:val="none"/>
        </w:rPr>
        <w:t>3.中标人提供的车辆配置齐全、安全措施良好，保证空调、安全锤、天窗等内设物品可有效使用，座位完好。</w:t>
      </w:r>
    </w:p>
    <w:p>
      <w:pPr>
        <w:snapToGrid w:val="0"/>
        <w:spacing w:line="360" w:lineRule="auto"/>
        <w:ind w:firstLine="480" w:firstLineChars="200"/>
        <w:rPr>
          <w:sz w:val="24"/>
          <w:highlight w:val="none"/>
        </w:rPr>
      </w:pPr>
      <w:r>
        <w:rPr>
          <w:rFonts w:hint="eastAsia"/>
          <w:sz w:val="24"/>
          <w:highlight w:val="none"/>
        </w:rPr>
        <w:t>4.中标人提供的车辆清洁美观，无异味。</w:t>
      </w:r>
    </w:p>
    <w:p>
      <w:pPr>
        <w:snapToGrid w:val="0"/>
        <w:spacing w:line="360" w:lineRule="auto"/>
        <w:ind w:firstLine="480" w:firstLineChars="200"/>
        <w:rPr>
          <w:sz w:val="24"/>
          <w:highlight w:val="none"/>
        </w:rPr>
      </w:pPr>
      <w:r>
        <w:rPr>
          <w:rFonts w:hint="eastAsia"/>
          <w:sz w:val="24"/>
          <w:highlight w:val="none"/>
        </w:rPr>
        <w:t>5.中标人提供的驾驶员须证件齐全，持有与驾驶车辆相符合的且在有效期内的驾驶证及从业资格证。</w:t>
      </w:r>
    </w:p>
    <w:p>
      <w:pPr>
        <w:snapToGrid w:val="0"/>
        <w:spacing w:line="360" w:lineRule="auto"/>
        <w:ind w:firstLine="480" w:firstLineChars="200"/>
        <w:rPr>
          <w:sz w:val="24"/>
          <w:highlight w:val="none"/>
        </w:rPr>
      </w:pPr>
      <w:r>
        <w:rPr>
          <w:rFonts w:hint="eastAsia"/>
          <w:sz w:val="24"/>
          <w:highlight w:val="none"/>
        </w:rPr>
        <w:t>6.中标人应定期对驾驶员进行安全、服务培训，加强个人健康卫生管理，关注思想动态，所提供的驾驶员应注意文明礼貌。</w:t>
      </w:r>
    </w:p>
    <w:p>
      <w:pPr>
        <w:pStyle w:val="3"/>
        <w:rPr>
          <w:highlight w:val="none"/>
        </w:rPr>
      </w:pPr>
      <w:r>
        <w:rPr>
          <w:rFonts w:hint="eastAsia"/>
          <w:highlight w:val="none"/>
        </w:rPr>
        <w:t>二、报价要求</w:t>
      </w:r>
      <w:bookmarkEnd w:id="9"/>
      <w:bookmarkEnd w:id="10"/>
    </w:p>
    <w:p>
      <w:pPr>
        <w:snapToGrid w:val="0"/>
        <w:spacing w:line="360" w:lineRule="auto"/>
        <w:ind w:firstLine="480" w:firstLineChars="200"/>
        <w:rPr>
          <w:rFonts w:hAnsi="宋体" w:cs="宋体"/>
          <w:sz w:val="24"/>
          <w:szCs w:val="24"/>
          <w:highlight w:val="none"/>
        </w:rPr>
      </w:pPr>
      <w:bookmarkStart w:id="12" w:name="_Toc505608531"/>
      <w:bookmarkStart w:id="13" w:name="_Toc98942885"/>
      <w:r>
        <w:rPr>
          <w:rFonts w:hint="eastAsia" w:hAnsi="宋体" w:cs="宋体"/>
          <w:sz w:val="24"/>
          <w:szCs w:val="24"/>
          <w:highlight w:val="none"/>
        </w:rPr>
        <w:t>1.本次报价须为人民币报价,包含：人工费、服装费、通讯费、交通费、过路费、食宿费、税费等完成本项目的所有费用。</w:t>
      </w:r>
    </w:p>
    <w:p>
      <w:pPr>
        <w:snapToGrid w:val="0"/>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2.投标人须按照本项目“分项报价明细表”的要求，列出每种座次车的不同起止点的价格明细。学生用车中同一路线往返算1车次。</w:t>
      </w:r>
    </w:p>
    <w:p>
      <w:pPr>
        <w:snapToGrid w:val="0"/>
        <w:spacing w:line="360" w:lineRule="auto"/>
        <w:ind w:firstLine="480" w:firstLineChars="200"/>
        <w:rPr>
          <w:rFonts w:cs="仿宋"/>
          <w:sz w:val="24"/>
          <w:szCs w:val="24"/>
          <w:highlight w:val="none"/>
        </w:rPr>
      </w:pPr>
      <w:r>
        <w:rPr>
          <w:rFonts w:hint="eastAsia" w:hAnsi="宋体" w:cs="宋体"/>
          <w:sz w:val="24"/>
          <w:szCs w:val="24"/>
          <w:highlight w:val="none"/>
        </w:rPr>
        <w:t>3.</w:t>
      </w:r>
      <w:r>
        <w:rPr>
          <w:rFonts w:hint="eastAsia" w:cs="仿宋"/>
          <w:sz w:val="24"/>
          <w:szCs w:val="24"/>
          <w:highlight w:val="none"/>
        </w:rPr>
        <w:t xml:space="preserve"> 若产生高速公路过路费和驾驶员食宿费等，均包含在本次报价中，采购人不额外支付相关费用。</w:t>
      </w:r>
    </w:p>
    <w:p>
      <w:pPr>
        <w:snapToGrid w:val="0"/>
        <w:spacing w:line="360" w:lineRule="auto"/>
        <w:ind w:firstLine="480" w:firstLineChars="200"/>
        <w:rPr>
          <w:rFonts w:hAnsi="宋体" w:cs="宋体"/>
          <w:sz w:val="24"/>
          <w:szCs w:val="24"/>
          <w:highlight w:val="none"/>
        </w:rPr>
      </w:pPr>
      <w:r>
        <w:rPr>
          <w:rFonts w:hint="eastAsia" w:cs="仿宋"/>
          <w:sz w:val="24"/>
          <w:szCs w:val="24"/>
          <w:highlight w:val="none"/>
        </w:rPr>
        <w:t>4. 投标人投标文件需包含“</w:t>
      </w:r>
      <w:r>
        <w:rPr>
          <w:rFonts w:hint="eastAsia" w:asciiTheme="minorEastAsia" w:hAnsiTheme="minorEastAsia" w:eastAsiaTheme="minorEastAsia"/>
          <w:sz w:val="24"/>
          <w:szCs w:val="28"/>
          <w:highlight w:val="none"/>
        </w:rPr>
        <w:t>临时用车需求报价表</w:t>
      </w:r>
      <w:r>
        <w:rPr>
          <w:rFonts w:hint="eastAsia" w:cs="仿宋"/>
          <w:sz w:val="24"/>
          <w:szCs w:val="24"/>
          <w:highlight w:val="none"/>
        </w:rPr>
        <w:t>”并填报临时用车单价。临时用车里程计算起点按采购人要求起点计算</w:t>
      </w:r>
      <w:r>
        <w:rPr>
          <w:rFonts w:hint="eastAsia" w:cs="仿宋"/>
          <w:sz w:val="24"/>
          <w:szCs w:val="24"/>
          <w:highlight w:val="none"/>
          <w:lang w:eastAsia="zh-CN"/>
        </w:rPr>
        <w:t>，以采购人规划</w:t>
      </w:r>
      <w:r>
        <w:rPr>
          <w:rFonts w:hint="eastAsia" w:cs="仿宋"/>
          <w:sz w:val="24"/>
          <w:szCs w:val="24"/>
          <w:highlight w:val="none"/>
          <w:lang w:val="en-US" w:eastAsia="zh-CN"/>
        </w:rPr>
        <w:t>的</w:t>
      </w:r>
      <w:r>
        <w:rPr>
          <w:rFonts w:hint="eastAsia" w:cs="仿宋"/>
          <w:sz w:val="24"/>
          <w:szCs w:val="24"/>
          <w:highlight w:val="none"/>
          <w:lang w:eastAsia="zh-CN"/>
        </w:rPr>
        <w:t>往返路线里程为准</w:t>
      </w:r>
      <w:r>
        <w:rPr>
          <w:rFonts w:hint="eastAsia" w:cs="仿宋"/>
          <w:sz w:val="24"/>
          <w:szCs w:val="24"/>
          <w:highlight w:val="none"/>
        </w:rPr>
        <w:t>。“临时用车需求报价表”中报价不计入投标总价进行评标，但投标人报价应符合市场行情，若高于市场价格，采购人可取消其中标资格。</w:t>
      </w:r>
    </w:p>
    <w:p>
      <w:pPr>
        <w:pStyle w:val="3"/>
        <w:rPr>
          <w:highlight w:val="none"/>
        </w:rPr>
      </w:pPr>
      <w:r>
        <w:rPr>
          <w:rFonts w:hint="eastAsia"/>
          <w:highlight w:val="none"/>
        </w:rPr>
        <w:t>三、</w:t>
      </w:r>
      <w:bookmarkEnd w:id="11"/>
      <w:bookmarkEnd w:id="12"/>
      <w:bookmarkEnd w:id="13"/>
      <w:r>
        <w:rPr>
          <w:rFonts w:hint="eastAsia"/>
          <w:highlight w:val="none"/>
        </w:rPr>
        <w:t>服务标准、期限及效率等要求</w:t>
      </w:r>
    </w:p>
    <w:p>
      <w:pPr>
        <w:snapToGrid w:val="0"/>
        <w:spacing w:line="400" w:lineRule="exact"/>
        <w:ind w:firstLine="480" w:firstLineChars="200"/>
        <w:rPr>
          <w:sz w:val="24"/>
          <w:highlight w:val="none"/>
        </w:rPr>
      </w:pPr>
      <w:r>
        <w:rPr>
          <w:rFonts w:hint="eastAsia"/>
          <w:sz w:val="24"/>
          <w:highlight w:val="none"/>
        </w:rPr>
        <w:t>按照采购人提供的用车安排表准时准地并按照用车车型需求安全接送乘客到达指定地点。</w:t>
      </w:r>
    </w:p>
    <w:p>
      <w:pPr>
        <w:pStyle w:val="3"/>
        <w:rPr>
          <w:highlight w:val="none"/>
        </w:rPr>
      </w:pPr>
      <w:bookmarkStart w:id="14" w:name="_Toc267320051"/>
      <w:bookmarkStart w:id="15" w:name="_Toc505608532"/>
      <w:bookmarkStart w:id="16" w:name="_Toc98942886"/>
      <w:r>
        <w:rPr>
          <w:rFonts w:hint="eastAsia"/>
          <w:highlight w:val="none"/>
        </w:rPr>
        <w:t>四、付款方式</w:t>
      </w:r>
      <w:bookmarkEnd w:id="14"/>
      <w:bookmarkEnd w:id="15"/>
      <w:bookmarkEnd w:id="16"/>
    </w:p>
    <w:p>
      <w:pPr>
        <w:snapToGrid w:val="0"/>
        <w:spacing w:line="360" w:lineRule="auto"/>
        <w:ind w:firstLine="480" w:firstLineChars="200"/>
        <w:rPr>
          <w:sz w:val="24"/>
          <w:highlight w:val="none"/>
        </w:rPr>
      </w:pPr>
      <w:r>
        <w:rPr>
          <w:rFonts w:hint="eastAsia"/>
          <w:sz w:val="24"/>
          <w:highlight w:val="none"/>
        </w:rPr>
        <w:t>1.交通车运输服务费结算按自然月进行结算。</w:t>
      </w:r>
    </w:p>
    <w:p>
      <w:pPr>
        <w:snapToGrid w:val="0"/>
        <w:spacing w:line="360" w:lineRule="auto"/>
        <w:ind w:firstLine="480" w:firstLineChars="200"/>
        <w:rPr>
          <w:sz w:val="24"/>
          <w:highlight w:val="none"/>
        </w:rPr>
      </w:pPr>
      <w:r>
        <w:rPr>
          <w:rFonts w:hint="eastAsia"/>
          <w:sz w:val="24"/>
          <w:highlight w:val="none"/>
        </w:rPr>
        <w:t>2.</w:t>
      </w:r>
      <w:r>
        <w:rPr>
          <w:sz w:val="24"/>
          <w:highlight w:val="none"/>
        </w:rPr>
        <w:t>根据双方书面确定的</w:t>
      </w:r>
      <w:r>
        <w:rPr>
          <w:rFonts w:hint="eastAsia"/>
          <w:sz w:val="24"/>
          <w:highlight w:val="none"/>
        </w:rPr>
        <w:t>需要结算的</w:t>
      </w:r>
      <w:r>
        <w:rPr>
          <w:sz w:val="24"/>
          <w:highlight w:val="none"/>
        </w:rPr>
        <w:t>交通车运行台帐中的实际运行</w:t>
      </w:r>
      <w:r>
        <w:rPr>
          <w:rFonts w:hint="eastAsia"/>
          <w:sz w:val="24"/>
          <w:highlight w:val="none"/>
          <w:lang w:eastAsia="zh-CN"/>
        </w:rPr>
        <w:t>车</w:t>
      </w:r>
      <w:r>
        <w:rPr>
          <w:sz w:val="24"/>
          <w:highlight w:val="none"/>
        </w:rPr>
        <w:t>次和服务质量，签定确认</w:t>
      </w:r>
      <w:r>
        <w:rPr>
          <w:rFonts w:hint="eastAsia"/>
          <w:sz w:val="24"/>
          <w:highlight w:val="none"/>
        </w:rPr>
        <w:t>需要结算的</w:t>
      </w:r>
      <w:r>
        <w:rPr>
          <w:sz w:val="24"/>
          <w:highlight w:val="none"/>
        </w:rPr>
        <w:t>费用。</w:t>
      </w:r>
    </w:p>
    <w:p>
      <w:pPr>
        <w:snapToGrid w:val="0"/>
        <w:spacing w:line="360" w:lineRule="auto"/>
        <w:ind w:firstLine="480" w:firstLineChars="200"/>
        <w:rPr>
          <w:sz w:val="24"/>
          <w:highlight w:val="none"/>
        </w:rPr>
      </w:pPr>
      <w:r>
        <w:rPr>
          <w:sz w:val="24"/>
          <w:highlight w:val="none"/>
        </w:rPr>
        <w:t>3.若</w:t>
      </w:r>
      <w:r>
        <w:rPr>
          <w:rFonts w:hint="eastAsia"/>
          <w:sz w:val="24"/>
          <w:highlight w:val="none"/>
        </w:rPr>
        <w:t>中标人</w:t>
      </w:r>
      <w:r>
        <w:rPr>
          <w:sz w:val="24"/>
          <w:highlight w:val="none"/>
        </w:rPr>
        <w:t>的运行线路、</w:t>
      </w:r>
      <w:r>
        <w:rPr>
          <w:rFonts w:hint="eastAsia"/>
          <w:sz w:val="24"/>
          <w:highlight w:val="none"/>
          <w:lang w:eastAsia="zh-CN"/>
        </w:rPr>
        <w:t>车</w:t>
      </w:r>
      <w:r>
        <w:rPr>
          <w:sz w:val="24"/>
          <w:highlight w:val="none"/>
        </w:rPr>
        <w:t>次、车辆数量等发生更改，服务费则根据实际情况计算。</w:t>
      </w:r>
    </w:p>
    <w:p>
      <w:pPr>
        <w:snapToGrid w:val="0"/>
        <w:spacing w:line="36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付款前中标人应向采购人开具正式发票。</w:t>
      </w:r>
    </w:p>
    <w:p>
      <w:pPr>
        <w:snapToGrid w:val="0"/>
        <w:spacing w:line="500" w:lineRule="exact"/>
        <w:rPr>
          <w:rFonts w:ascii="方正仿宋_GBK" w:hAnsi="仿宋" w:eastAsia="方正仿宋_GBK"/>
          <w:sz w:val="24"/>
          <w:szCs w:val="28"/>
          <w:highlight w:val="none"/>
        </w:rPr>
      </w:pPr>
      <w:r>
        <w:rPr>
          <w:rFonts w:hint="eastAsia" w:ascii="Arial" w:hAnsi="Arial" w:eastAsiaTheme="minorEastAsia" w:cstheme="minorBidi"/>
          <w:bCs/>
          <w:kern w:val="2"/>
          <w:sz w:val="28"/>
          <w:szCs w:val="32"/>
          <w:highlight w:val="none"/>
          <w:lang w:val="en-US" w:eastAsia="zh-CN" w:bidi="ar-SA"/>
        </w:rPr>
        <w:t>五、分项报价明细表</w:t>
      </w:r>
    </w:p>
    <w:p>
      <w:pPr>
        <w:spacing w:line="500" w:lineRule="exact"/>
        <w:rPr>
          <w:rFonts w:hint="eastAsia" w:ascii="方正仿宋_GBK" w:hAnsi="仿宋" w:eastAsia="方正仿宋_GBK"/>
          <w:sz w:val="24"/>
          <w:szCs w:val="28"/>
          <w:highlight w:val="none"/>
          <w:lang w:eastAsia="zh-CN"/>
        </w:rPr>
      </w:pPr>
      <w:r>
        <w:rPr>
          <w:rFonts w:hint="eastAsia" w:ascii="方正仿宋_GBK" w:hAnsi="仿宋" w:eastAsia="方正仿宋_GBK"/>
          <w:b/>
          <w:bCs/>
          <w:sz w:val="24"/>
          <w:szCs w:val="28"/>
          <w:highlight w:val="none"/>
          <w:lang w:eastAsia="zh-CN"/>
        </w:rPr>
        <w:t>供应商请按下表进行报价</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招标项目名称：</w:t>
      </w:r>
    </w:p>
    <w:p>
      <w:pPr>
        <w:spacing w:line="500" w:lineRule="exact"/>
        <w:rPr>
          <w:rFonts w:ascii="方正仿宋_GBK" w:hAnsi="仿宋" w:eastAsia="方正仿宋_GBK"/>
          <w:sz w:val="24"/>
          <w:szCs w:val="28"/>
          <w:highlight w:val="none"/>
        </w:rPr>
      </w:pPr>
      <w:r>
        <w:rPr>
          <w:rFonts w:hint="eastAsia" w:asciiTheme="minorEastAsia" w:hAnsiTheme="minorEastAsia" w:eastAsiaTheme="minorEastAsia"/>
          <w:sz w:val="24"/>
          <w:szCs w:val="28"/>
          <w:highlight w:val="none"/>
        </w:rPr>
        <w:t xml:space="preserve">学生用车报价表     </w:t>
      </w:r>
      <w:r>
        <w:rPr>
          <w:rFonts w:hint="eastAsia" w:ascii="方正仿宋_GBK" w:hAnsi="仿宋" w:eastAsia="方正仿宋_GBK"/>
          <w:sz w:val="24"/>
          <w:szCs w:val="28"/>
          <w:highlight w:val="none"/>
        </w:rPr>
        <w:t xml:space="preserve">                                                 单位：元</w:t>
      </w:r>
    </w:p>
    <w:tbl>
      <w:tblPr>
        <w:tblStyle w:val="10"/>
        <w:tblW w:w="9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3"/>
        <w:gridCol w:w="4677"/>
        <w:gridCol w:w="850"/>
        <w:gridCol w:w="77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rPr>
                <w:highlight w:val="none"/>
              </w:rPr>
            </w:pPr>
            <w:r>
              <w:rPr>
                <w:rFonts w:hint="eastAsia"/>
                <w:highlight w:val="none"/>
              </w:rPr>
              <w:t>序号</w:t>
            </w:r>
          </w:p>
        </w:tc>
        <w:tc>
          <w:tcPr>
            <w:tcW w:w="1313" w:type="dxa"/>
            <w:vAlign w:val="center"/>
          </w:tcPr>
          <w:p>
            <w:pPr>
              <w:pStyle w:val="29"/>
              <w:jc w:val="center"/>
              <w:rPr>
                <w:highlight w:val="none"/>
              </w:rPr>
            </w:pPr>
            <w:r>
              <w:rPr>
                <w:rFonts w:hint="eastAsia"/>
                <w:highlight w:val="none"/>
              </w:rPr>
              <w:t>车型</w:t>
            </w:r>
          </w:p>
        </w:tc>
        <w:tc>
          <w:tcPr>
            <w:tcW w:w="4677" w:type="dxa"/>
            <w:vAlign w:val="center"/>
          </w:tcPr>
          <w:p>
            <w:pPr>
              <w:pStyle w:val="29"/>
              <w:jc w:val="center"/>
              <w:rPr>
                <w:highlight w:val="none"/>
              </w:rPr>
            </w:pPr>
            <w:r>
              <w:rPr>
                <w:rFonts w:hint="eastAsia"/>
                <w:highlight w:val="none"/>
              </w:rPr>
              <w:t>路线（同一路线往返算1次）</w:t>
            </w:r>
          </w:p>
        </w:tc>
        <w:tc>
          <w:tcPr>
            <w:tcW w:w="850" w:type="dxa"/>
            <w:vAlign w:val="center"/>
          </w:tcPr>
          <w:p>
            <w:pPr>
              <w:pStyle w:val="29"/>
              <w:jc w:val="center"/>
              <w:rPr>
                <w:highlight w:val="none"/>
              </w:rPr>
            </w:pPr>
            <w:r>
              <w:rPr>
                <w:rFonts w:hint="eastAsia"/>
                <w:highlight w:val="none"/>
              </w:rPr>
              <w:t>数量</w:t>
            </w:r>
          </w:p>
        </w:tc>
        <w:tc>
          <w:tcPr>
            <w:tcW w:w="777" w:type="dxa"/>
            <w:vAlign w:val="center"/>
          </w:tcPr>
          <w:p>
            <w:pPr>
              <w:pStyle w:val="29"/>
              <w:jc w:val="center"/>
              <w:rPr>
                <w:highlight w:val="none"/>
              </w:rPr>
            </w:pPr>
            <w:r>
              <w:rPr>
                <w:rFonts w:hint="eastAsia"/>
                <w:highlight w:val="none"/>
              </w:rPr>
              <w:t>单价</w:t>
            </w:r>
          </w:p>
        </w:tc>
        <w:tc>
          <w:tcPr>
            <w:tcW w:w="1267" w:type="dxa"/>
            <w:vAlign w:val="center"/>
          </w:tcPr>
          <w:p>
            <w:pPr>
              <w:pStyle w:val="29"/>
              <w:jc w:val="cente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w:t>
            </w:r>
          </w:p>
        </w:tc>
        <w:tc>
          <w:tcPr>
            <w:tcW w:w="1313" w:type="dxa"/>
            <w:vMerge w:val="restart"/>
            <w:vAlign w:val="center"/>
          </w:tcPr>
          <w:p>
            <w:pPr>
              <w:pStyle w:val="29"/>
              <w:jc w:val="center"/>
              <w:rPr>
                <w:highlight w:val="none"/>
              </w:rPr>
            </w:pPr>
            <w:r>
              <w:rPr>
                <w:rFonts w:hint="eastAsia"/>
                <w:highlight w:val="none"/>
              </w:rPr>
              <w:t>38座</w:t>
            </w:r>
          </w:p>
        </w:tc>
        <w:tc>
          <w:tcPr>
            <w:tcW w:w="4677" w:type="dxa"/>
            <w:vAlign w:val="center"/>
          </w:tcPr>
          <w:p>
            <w:pPr>
              <w:pStyle w:val="29"/>
              <w:jc w:val="both"/>
              <w:rPr>
                <w:highlight w:val="none"/>
              </w:rPr>
            </w:pPr>
            <w:r>
              <w:rPr>
                <w:rFonts w:hint="eastAsia"/>
                <w:highlight w:val="none"/>
              </w:rPr>
              <w:t>上午(早上来-中午回)：缙云校区-上/北/社区</w:t>
            </w:r>
          </w:p>
        </w:tc>
        <w:tc>
          <w:tcPr>
            <w:tcW w:w="850" w:type="dxa"/>
            <w:vAlign w:val="center"/>
          </w:tcPr>
          <w:p>
            <w:pPr>
              <w:pStyle w:val="29"/>
              <w:jc w:val="center"/>
              <w:rPr>
                <w:highlight w:val="none"/>
              </w:rPr>
            </w:pPr>
            <w:r>
              <w:rPr>
                <w:rFonts w:hint="eastAsia"/>
                <w:highlight w:val="none"/>
              </w:rPr>
              <w:t>6</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上午（早上来-中午回）：袁家岗-上/北/社区</w:t>
            </w:r>
          </w:p>
        </w:tc>
        <w:tc>
          <w:tcPr>
            <w:tcW w:w="850" w:type="dxa"/>
            <w:vAlign w:val="center"/>
          </w:tcPr>
          <w:p>
            <w:pPr>
              <w:pStyle w:val="29"/>
              <w:jc w:val="center"/>
              <w:rPr>
                <w:highlight w:val="none"/>
              </w:rPr>
            </w:pPr>
            <w:r>
              <w:rPr>
                <w:rFonts w:hint="eastAsia"/>
                <w:highlight w:val="none"/>
              </w:rPr>
              <w:t>160</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3</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下午（中午来-下午回）：缙云校区-上/北/社区</w:t>
            </w:r>
          </w:p>
        </w:tc>
        <w:tc>
          <w:tcPr>
            <w:tcW w:w="850" w:type="dxa"/>
            <w:vAlign w:val="center"/>
          </w:tcPr>
          <w:p>
            <w:pPr>
              <w:pStyle w:val="29"/>
              <w:jc w:val="center"/>
              <w:rPr>
                <w:highlight w:val="none"/>
              </w:rPr>
            </w:pPr>
            <w:r>
              <w:rPr>
                <w:rFonts w:hint="eastAsia"/>
                <w:highlight w:val="none"/>
              </w:rPr>
              <w:t>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4</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下午（中午来-下午回）：袁家岗-上/北/社区</w:t>
            </w:r>
          </w:p>
        </w:tc>
        <w:tc>
          <w:tcPr>
            <w:tcW w:w="850" w:type="dxa"/>
            <w:vAlign w:val="center"/>
          </w:tcPr>
          <w:p>
            <w:pPr>
              <w:pStyle w:val="29"/>
              <w:jc w:val="center"/>
              <w:rPr>
                <w:highlight w:val="none"/>
              </w:rPr>
            </w:pPr>
            <w:r>
              <w:rPr>
                <w:rFonts w:hint="eastAsia"/>
                <w:highlight w:val="none"/>
              </w:rPr>
              <w:t>36</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5</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早上来-下午回：缙云校区-上/北/社区</w:t>
            </w:r>
          </w:p>
        </w:tc>
        <w:tc>
          <w:tcPr>
            <w:tcW w:w="850" w:type="dxa"/>
            <w:vAlign w:val="center"/>
          </w:tcPr>
          <w:p>
            <w:pPr>
              <w:pStyle w:val="29"/>
              <w:jc w:val="center"/>
              <w:rPr>
                <w:highlight w:val="none"/>
              </w:rPr>
            </w:pPr>
            <w:r>
              <w:rPr>
                <w:rFonts w:hint="eastAsia"/>
                <w:highlight w:val="none"/>
              </w:rPr>
              <w:t>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6</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早上来-下午回：袁家岗-上/北/社区</w:t>
            </w:r>
          </w:p>
        </w:tc>
        <w:tc>
          <w:tcPr>
            <w:tcW w:w="850" w:type="dxa"/>
            <w:vAlign w:val="center"/>
          </w:tcPr>
          <w:p>
            <w:pPr>
              <w:pStyle w:val="29"/>
              <w:jc w:val="center"/>
              <w:rPr>
                <w:highlight w:val="none"/>
              </w:rPr>
            </w:pPr>
            <w:r>
              <w:rPr>
                <w:rFonts w:hint="eastAsia"/>
                <w:highlight w:val="none"/>
              </w:rPr>
              <w:t>11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7</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缙云校区-袁家岗</w:t>
            </w:r>
          </w:p>
        </w:tc>
        <w:tc>
          <w:tcPr>
            <w:tcW w:w="850" w:type="dxa"/>
            <w:vAlign w:val="center"/>
          </w:tcPr>
          <w:p>
            <w:pPr>
              <w:pStyle w:val="29"/>
              <w:jc w:val="center"/>
              <w:rPr>
                <w:highlight w:val="none"/>
              </w:rPr>
            </w:pPr>
            <w:r>
              <w:rPr>
                <w:rFonts w:hint="eastAsia"/>
                <w:highlight w:val="none"/>
              </w:rPr>
              <w:t>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8</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袁家岗-实习基地</w:t>
            </w:r>
          </w:p>
        </w:tc>
        <w:tc>
          <w:tcPr>
            <w:tcW w:w="850" w:type="dxa"/>
            <w:vAlign w:val="center"/>
          </w:tcPr>
          <w:p>
            <w:pPr>
              <w:pStyle w:val="29"/>
              <w:jc w:val="center"/>
              <w:rPr>
                <w:highlight w:val="none"/>
              </w:rPr>
            </w:pPr>
            <w:r>
              <w:rPr>
                <w:rFonts w:hint="eastAsia"/>
                <w:highlight w:val="none"/>
              </w:rPr>
              <w:t>5</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9</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缙云校区-北部院区</w:t>
            </w:r>
          </w:p>
        </w:tc>
        <w:tc>
          <w:tcPr>
            <w:tcW w:w="850" w:type="dxa"/>
            <w:vAlign w:val="center"/>
          </w:tcPr>
          <w:p>
            <w:pPr>
              <w:pStyle w:val="29"/>
              <w:jc w:val="center"/>
              <w:rPr>
                <w:highlight w:val="none"/>
              </w:rPr>
            </w:pPr>
            <w:r>
              <w:rPr>
                <w:rFonts w:hint="eastAsia"/>
                <w:highlight w:val="none"/>
              </w:rPr>
              <w:t>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10</w:t>
            </w:r>
          </w:p>
        </w:tc>
        <w:tc>
          <w:tcPr>
            <w:tcW w:w="1313" w:type="dxa"/>
            <w:vMerge w:val="restart"/>
            <w:vAlign w:val="center"/>
          </w:tcPr>
          <w:p>
            <w:pPr>
              <w:pStyle w:val="29"/>
              <w:jc w:val="center"/>
              <w:rPr>
                <w:highlight w:val="none"/>
              </w:rPr>
            </w:pPr>
            <w:r>
              <w:rPr>
                <w:rFonts w:hint="eastAsia"/>
                <w:highlight w:val="none"/>
              </w:rPr>
              <w:t>48座</w:t>
            </w:r>
          </w:p>
        </w:tc>
        <w:tc>
          <w:tcPr>
            <w:tcW w:w="4677" w:type="dxa"/>
            <w:vAlign w:val="center"/>
          </w:tcPr>
          <w:p>
            <w:pPr>
              <w:pStyle w:val="29"/>
              <w:jc w:val="both"/>
              <w:rPr>
                <w:highlight w:val="none"/>
              </w:rPr>
            </w:pPr>
            <w:r>
              <w:rPr>
                <w:rFonts w:hint="eastAsia"/>
                <w:highlight w:val="none"/>
              </w:rPr>
              <w:t>上午(早上来-中午回)：缙云校区-上/北/社区</w:t>
            </w:r>
          </w:p>
        </w:tc>
        <w:tc>
          <w:tcPr>
            <w:tcW w:w="850" w:type="dxa"/>
            <w:vAlign w:val="center"/>
          </w:tcPr>
          <w:p>
            <w:pPr>
              <w:pStyle w:val="29"/>
              <w:jc w:val="center"/>
              <w:rPr>
                <w:highlight w:val="none"/>
              </w:rPr>
            </w:pPr>
            <w:r>
              <w:rPr>
                <w:rFonts w:hint="eastAsia"/>
                <w:highlight w:val="none"/>
              </w:rPr>
              <w:t>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11</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上午(早上来-中午回)：袁家岗-上/北/社区</w:t>
            </w:r>
          </w:p>
        </w:tc>
        <w:tc>
          <w:tcPr>
            <w:tcW w:w="850" w:type="dxa"/>
            <w:vAlign w:val="center"/>
          </w:tcPr>
          <w:p>
            <w:pPr>
              <w:pStyle w:val="29"/>
              <w:jc w:val="center"/>
              <w:rPr>
                <w:highlight w:val="none"/>
              </w:rPr>
            </w:pPr>
            <w:r>
              <w:rPr>
                <w:rFonts w:hint="eastAsia"/>
                <w:highlight w:val="none"/>
              </w:rPr>
              <w:t>22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12</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下午（中午来-下午回）：缙云校区-上/北/社区</w:t>
            </w:r>
          </w:p>
        </w:tc>
        <w:tc>
          <w:tcPr>
            <w:tcW w:w="850" w:type="dxa"/>
            <w:vAlign w:val="center"/>
          </w:tcPr>
          <w:p>
            <w:pPr>
              <w:pStyle w:val="29"/>
              <w:jc w:val="center"/>
              <w:rPr>
                <w:highlight w:val="none"/>
              </w:rPr>
            </w:pPr>
            <w:r>
              <w:rPr>
                <w:rFonts w:hint="eastAsia"/>
                <w:highlight w:val="none"/>
              </w:rPr>
              <w:t>6</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13</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下午（中午来-下午回）：袁家岗-上/北/社区</w:t>
            </w:r>
          </w:p>
        </w:tc>
        <w:tc>
          <w:tcPr>
            <w:tcW w:w="850" w:type="dxa"/>
            <w:vAlign w:val="center"/>
          </w:tcPr>
          <w:p>
            <w:pPr>
              <w:pStyle w:val="29"/>
              <w:jc w:val="center"/>
              <w:rPr>
                <w:highlight w:val="none"/>
              </w:rPr>
            </w:pPr>
            <w:r>
              <w:rPr>
                <w:rFonts w:hint="eastAsia"/>
                <w:highlight w:val="none"/>
              </w:rPr>
              <w:t>177</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14</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早上来-下午回：大学城-北/上</w:t>
            </w:r>
          </w:p>
        </w:tc>
        <w:tc>
          <w:tcPr>
            <w:tcW w:w="850" w:type="dxa"/>
            <w:vAlign w:val="center"/>
          </w:tcPr>
          <w:p>
            <w:pPr>
              <w:pStyle w:val="29"/>
              <w:jc w:val="center"/>
              <w:rPr>
                <w:highlight w:val="none"/>
              </w:rPr>
            </w:pPr>
            <w:r>
              <w:rPr>
                <w:rFonts w:hint="eastAsia"/>
                <w:highlight w:val="none"/>
              </w:rPr>
              <w:t>2</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15</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早上来-下午回：袁家岗-上/北/社区</w:t>
            </w:r>
          </w:p>
        </w:tc>
        <w:tc>
          <w:tcPr>
            <w:tcW w:w="850" w:type="dxa"/>
            <w:vAlign w:val="center"/>
          </w:tcPr>
          <w:p>
            <w:pPr>
              <w:pStyle w:val="29"/>
              <w:jc w:val="center"/>
              <w:rPr>
                <w:highlight w:val="none"/>
              </w:rPr>
            </w:pPr>
            <w:r>
              <w:rPr>
                <w:rFonts w:hint="eastAsia"/>
                <w:highlight w:val="none"/>
              </w:rPr>
              <w:t>6</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16</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缙云校区-袁家岗</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17</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袁家岗-实习基地</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18</w:t>
            </w:r>
          </w:p>
        </w:tc>
        <w:tc>
          <w:tcPr>
            <w:tcW w:w="1313" w:type="dxa"/>
            <w:vMerge w:val="continue"/>
            <w:vAlign w:val="center"/>
          </w:tcPr>
          <w:p>
            <w:pPr>
              <w:pStyle w:val="29"/>
              <w:jc w:val="center"/>
              <w:rPr>
                <w:highlight w:val="none"/>
              </w:rPr>
            </w:pPr>
          </w:p>
        </w:tc>
        <w:tc>
          <w:tcPr>
            <w:tcW w:w="4677" w:type="dxa"/>
            <w:vAlign w:val="center"/>
          </w:tcPr>
          <w:p>
            <w:pPr>
              <w:pStyle w:val="29"/>
              <w:jc w:val="both"/>
              <w:rPr>
                <w:highlight w:val="none"/>
              </w:rPr>
            </w:pPr>
            <w:r>
              <w:rPr>
                <w:rFonts w:hint="eastAsia"/>
                <w:highlight w:val="none"/>
              </w:rPr>
              <w:t>缙云校区-北部院区</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19</w:t>
            </w:r>
          </w:p>
        </w:tc>
        <w:tc>
          <w:tcPr>
            <w:tcW w:w="1313" w:type="dxa"/>
            <w:vMerge w:val="restart"/>
            <w:vAlign w:val="center"/>
          </w:tcPr>
          <w:p>
            <w:pPr>
              <w:pStyle w:val="29"/>
              <w:jc w:val="center"/>
              <w:rPr>
                <w:highlight w:val="none"/>
              </w:rPr>
            </w:pPr>
            <w:r>
              <w:rPr>
                <w:rFonts w:hint="eastAsia"/>
                <w:highlight w:val="none"/>
              </w:rPr>
              <w:t>54座</w:t>
            </w:r>
          </w:p>
        </w:tc>
        <w:tc>
          <w:tcPr>
            <w:tcW w:w="4677" w:type="dxa"/>
            <w:vAlign w:val="center"/>
          </w:tcPr>
          <w:p>
            <w:pPr>
              <w:pStyle w:val="29"/>
              <w:jc w:val="both"/>
              <w:rPr>
                <w:highlight w:val="none"/>
              </w:rPr>
            </w:pPr>
            <w:r>
              <w:rPr>
                <w:rFonts w:hint="eastAsia"/>
                <w:highlight w:val="none"/>
              </w:rPr>
              <w:t>上午（早上来-中午回）：缙云校区-北/上</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20</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上午（早上来-中午回）：袁家岗-上/北/社区</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21</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下午（中午来-下午回）：缙云校区-北/上</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22</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下午（中午来-下午回）：袁家岗-上/北/社区</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23</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早上来-下午回：缙云校区-北/上</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24</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早上来-下午回：袁家岗-上/北/社区</w:t>
            </w:r>
          </w:p>
        </w:tc>
        <w:tc>
          <w:tcPr>
            <w:tcW w:w="850" w:type="dxa"/>
            <w:vAlign w:val="center"/>
          </w:tcPr>
          <w:p>
            <w:pPr>
              <w:pStyle w:val="29"/>
              <w:jc w:val="center"/>
              <w:rPr>
                <w:highlight w:val="none"/>
              </w:rPr>
            </w:pPr>
            <w:r>
              <w:rPr>
                <w:rFonts w:hint="eastAsia"/>
                <w:highlight w:val="none"/>
              </w:rPr>
              <w:t>1</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25</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缙云校区-袁家岗</w:t>
            </w:r>
          </w:p>
        </w:tc>
        <w:tc>
          <w:tcPr>
            <w:tcW w:w="850" w:type="dxa"/>
            <w:vAlign w:val="center"/>
          </w:tcPr>
          <w:p>
            <w:pPr>
              <w:pStyle w:val="29"/>
              <w:jc w:val="center"/>
              <w:rPr>
                <w:highlight w:val="none"/>
              </w:rPr>
            </w:pPr>
            <w:r>
              <w:rPr>
                <w:rFonts w:hint="eastAsia"/>
                <w:highlight w:val="none"/>
              </w:rPr>
              <w:t>0</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26</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袁家岗-实习基地</w:t>
            </w:r>
          </w:p>
        </w:tc>
        <w:tc>
          <w:tcPr>
            <w:tcW w:w="850" w:type="dxa"/>
            <w:vAlign w:val="center"/>
          </w:tcPr>
          <w:p>
            <w:pPr>
              <w:pStyle w:val="29"/>
              <w:jc w:val="center"/>
              <w:rPr>
                <w:highlight w:val="none"/>
              </w:rPr>
            </w:pPr>
            <w:r>
              <w:rPr>
                <w:rFonts w:hint="eastAsia"/>
                <w:highlight w:val="none"/>
              </w:rPr>
              <w:t>0</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vAlign w:val="center"/>
          </w:tcPr>
          <w:p>
            <w:pPr>
              <w:pStyle w:val="29"/>
              <w:jc w:val="center"/>
              <w:rPr>
                <w:highlight w:val="none"/>
              </w:rPr>
            </w:pPr>
            <w:r>
              <w:rPr>
                <w:rFonts w:hint="eastAsia"/>
                <w:highlight w:val="none"/>
              </w:rPr>
              <w:t>27</w:t>
            </w:r>
          </w:p>
        </w:tc>
        <w:tc>
          <w:tcPr>
            <w:tcW w:w="1313" w:type="dxa"/>
            <w:vMerge w:val="continue"/>
            <w:vAlign w:val="center"/>
          </w:tcPr>
          <w:p>
            <w:pPr>
              <w:pStyle w:val="29"/>
              <w:rPr>
                <w:highlight w:val="none"/>
              </w:rPr>
            </w:pPr>
          </w:p>
        </w:tc>
        <w:tc>
          <w:tcPr>
            <w:tcW w:w="4677" w:type="dxa"/>
            <w:vAlign w:val="center"/>
          </w:tcPr>
          <w:p>
            <w:pPr>
              <w:pStyle w:val="29"/>
              <w:jc w:val="both"/>
              <w:rPr>
                <w:highlight w:val="none"/>
              </w:rPr>
            </w:pPr>
            <w:r>
              <w:rPr>
                <w:rFonts w:hint="eastAsia"/>
                <w:highlight w:val="none"/>
              </w:rPr>
              <w:t>缙云校区-北部院区</w:t>
            </w:r>
          </w:p>
        </w:tc>
        <w:tc>
          <w:tcPr>
            <w:tcW w:w="850" w:type="dxa"/>
            <w:vAlign w:val="center"/>
          </w:tcPr>
          <w:p>
            <w:pPr>
              <w:pStyle w:val="29"/>
              <w:jc w:val="center"/>
              <w:rPr>
                <w:highlight w:val="none"/>
              </w:rPr>
            </w:pPr>
            <w:r>
              <w:rPr>
                <w:rFonts w:hint="eastAsia"/>
                <w:highlight w:val="none"/>
              </w:rPr>
              <w:t>0</w:t>
            </w:r>
          </w:p>
        </w:tc>
        <w:tc>
          <w:tcPr>
            <w:tcW w:w="777" w:type="dxa"/>
            <w:vAlign w:val="center"/>
          </w:tcPr>
          <w:p>
            <w:pPr>
              <w:pStyle w:val="29"/>
              <w:jc w:val="center"/>
              <w:rPr>
                <w:highlight w:val="none"/>
              </w:rPr>
            </w:pPr>
          </w:p>
        </w:tc>
        <w:tc>
          <w:tcPr>
            <w:tcW w:w="1267"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26" w:type="dxa"/>
            <w:gridSpan w:val="5"/>
            <w:vAlign w:val="center"/>
          </w:tcPr>
          <w:p>
            <w:pPr>
              <w:pStyle w:val="29"/>
              <w:jc w:val="center"/>
              <w:rPr>
                <w:highlight w:val="none"/>
              </w:rPr>
            </w:pPr>
            <w:r>
              <w:rPr>
                <w:rFonts w:hint="eastAsia"/>
                <w:highlight w:val="none"/>
              </w:rPr>
              <w:t>总   计</w:t>
            </w:r>
          </w:p>
        </w:tc>
        <w:tc>
          <w:tcPr>
            <w:tcW w:w="1267" w:type="dxa"/>
          </w:tcPr>
          <w:p>
            <w:pPr>
              <w:pStyle w:val="29"/>
              <w:rPr>
                <w:highlight w:val="none"/>
              </w:rPr>
            </w:pPr>
          </w:p>
        </w:tc>
      </w:tr>
    </w:tbl>
    <w:p>
      <w:pPr>
        <w:rPr>
          <w:rFonts w:hint="eastAsia"/>
          <w:highlight w:val="none"/>
        </w:rPr>
      </w:pPr>
    </w:p>
    <w:p>
      <w:pPr>
        <w:spacing w:line="500" w:lineRule="exact"/>
        <w:ind w:firstLine="480" w:firstLineChars="200"/>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临时用车需求报价表</w:t>
      </w:r>
    </w:p>
    <w:tbl>
      <w:tblPr>
        <w:tblStyle w:val="10"/>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7"/>
        <w:gridCol w:w="2551"/>
        <w:gridCol w:w="2410"/>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exact"/>
        </w:trPr>
        <w:tc>
          <w:tcPr>
            <w:tcW w:w="1008" w:type="dxa"/>
            <w:vAlign w:val="center"/>
          </w:tcPr>
          <w:p>
            <w:pPr>
              <w:pStyle w:val="29"/>
              <w:jc w:val="center"/>
              <w:rPr>
                <w:highlight w:val="none"/>
              </w:rPr>
            </w:pPr>
            <w:r>
              <w:rPr>
                <w:rFonts w:hint="eastAsia"/>
                <w:highlight w:val="none"/>
              </w:rPr>
              <w:t>序号</w:t>
            </w:r>
          </w:p>
        </w:tc>
        <w:tc>
          <w:tcPr>
            <w:tcW w:w="977" w:type="dxa"/>
            <w:vAlign w:val="center"/>
          </w:tcPr>
          <w:p>
            <w:pPr>
              <w:pStyle w:val="29"/>
              <w:jc w:val="center"/>
              <w:rPr>
                <w:highlight w:val="none"/>
              </w:rPr>
            </w:pPr>
            <w:r>
              <w:rPr>
                <w:rFonts w:hint="eastAsia"/>
                <w:highlight w:val="none"/>
              </w:rPr>
              <w:t>车型</w:t>
            </w:r>
          </w:p>
        </w:tc>
        <w:tc>
          <w:tcPr>
            <w:tcW w:w="2551" w:type="dxa"/>
            <w:vAlign w:val="center"/>
          </w:tcPr>
          <w:p>
            <w:pPr>
              <w:pStyle w:val="29"/>
              <w:jc w:val="center"/>
              <w:rPr>
                <w:highlight w:val="none"/>
              </w:rPr>
            </w:pPr>
            <w:r>
              <w:rPr>
                <w:rFonts w:hint="eastAsia"/>
                <w:highlight w:val="none"/>
              </w:rPr>
              <w:t>0-50公里（含50公里）</w:t>
            </w:r>
          </w:p>
          <w:p>
            <w:pPr>
              <w:pStyle w:val="29"/>
              <w:jc w:val="center"/>
              <w:rPr>
                <w:highlight w:val="none"/>
              </w:rPr>
            </w:pPr>
            <w:r>
              <w:rPr>
                <w:rFonts w:hint="eastAsia"/>
                <w:highlight w:val="none"/>
              </w:rPr>
              <w:t>包干价（元）</w:t>
            </w:r>
          </w:p>
        </w:tc>
        <w:tc>
          <w:tcPr>
            <w:tcW w:w="2410" w:type="dxa"/>
            <w:vAlign w:val="center"/>
          </w:tcPr>
          <w:p>
            <w:pPr>
              <w:pStyle w:val="29"/>
              <w:jc w:val="center"/>
              <w:rPr>
                <w:highlight w:val="none"/>
              </w:rPr>
            </w:pPr>
            <w:r>
              <w:rPr>
                <w:rFonts w:hint="eastAsia"/>
                <w:highlight w:val="none"/>
              </w:rPr>
              <w:t>50-100公里（含100公里）单价（元/公里）</w:t>
            </w:r>
          </w:p>
        </w:tc>
        <w:tc>
          <w:tcPr>
            <w:tcW w:w="2575" w:type="dxa"/>
            <w:vAlign w:val="center"/>
          </w:tcPr>
          <w:p>
            <w:pPr>
              <w:pStyle w:val="29"/>
              <w:jc w:val="center"/>
              <w:rPr>
                <w:highlight w:val="none"/>
              </w:rPr>
            </w:pPr>
            <w:r>
              <w:rPr>
                <w:rFonts w:hint="eastAsia"/>
                <w:highlight w:val="none"/>
              </w:rPr>
              <w:t>100公里以上单价（元/公里）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 w:type="dxa"/>
            <w:vAlign w:val="center"/>
          </w:tcPr>
          <w:p>
            <w:pPr>
              <w:pStyle w:val="29"/>
              <w:jc w:val="center"/>
              <w:rPr>
                <w:highlight w:val="none"/>
              </w:rPr>
            </w:pPr>
            <w:r>
              <w:rPr>
                <w:rFonts w:hint="eastAsia"/>
                <w:highlight w:val="none"/>
              </w:rPr>
              <w:t>1</w:t>
            </w:r>
          </w:p>
        </w:tc>
        <w:tc>
          <w:tcPr>
            <w:tcW w:w="977" w:type="dxa"/>
            <w:vAlign w:val="center"/>
          </w:tcPr>
          <w:p>
            <w:pPr>
              <w:pStyle w:val="29"/>
              <w:jc w:val="center"/>
              <w:rPr>
                <w:highlight w:val="none"/>
              </w:rPr>
            </w:pPr>
            <w:r>
              <w:rPr>
                <w:rFonts w:hint="eastAsia"/>
                <w:highlight w:val="none"/>
              </w:rPr>
              <w:t>9座</w:t>
            </w:r>
          </w:p>
        </w:tc>
        <w:tc>
          <w:tcPr>
            <w:tcW w:w="2551" w:type="dxa"/>
            <w:vAlign w:val="center"/>
          </w:tcPr>
          <w:p>
            <w:pPr>
              <w:pStyle w:val="29"/>
              <w:jc w:val="center"/>
              <w:rPr>
                <w:highlight w:val="none"/>
              </w:rPr>
            </w:pPr>
          </w:p>
        </w:tc>
        <w:tc>
          <w:tcPr>
            <w:tcW w:w="2410" w:type="dxa"/>
            <w:vAlign w:val="center"/>
          </w:tcPr>
          <w:p>
            <w:pPr>
              <w:pStyle w:val="29"/>
              <w:jc w:val="center"/>
              <w:rPr>
                <w:highlight w:val="none"/>
              </w:rPr>
            </w:pPr>
          </w:p>
        </w:tc>
        <w:tc>
          <w:tcPr>
            <w:tcW w:w="2575"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 w:type="dxa"/>
            <w:vAlign w:val="center"/>
          </w:tcPr>
          <w:p>
            <w:pPr>
              <w:pStyle w:val="29"/>
              <w:jc w:val="center"/>
              <w:rPr>
                <w:highlight w:val="none"/>
              </w:rPr>
            </w:pPr>
            <w:r>
              <w:rPr>
                <w:rFonts w:hint="eastAsia"/>
                <w:highlight w:val="none"/>
              </w:rPr>
              <w:t>2</w:t>
            </w:r>
          </w:p>
        </w:tc>
        <w:tc>
          <w:tcPr>
            <w:tcW w:w="977" w:type="dxa"/>
            <w:vAlign w:val="center"/>
          </w:tcPr>
          <w:p>
            <w:pPr>
              <w:pStyle w:val="29"/>
              <w:jc w:val="center"/>
              <w:rPr>
                <w:highlight w:val="none"/>
              </w:rPr>
            </w:pPr>
            <w:r>
              <w:rPr>
                <w:rFonts w:hint="eastAsia"/>
                <w:highlight w:val="none"/>
              </w:rPr>
              <w:t>18座</w:t>
            </w:r>
          </w:p>
        </w:tc>
        <w:tc>
          <w:tcPr>
            <w:tcW w:w="2551" w:type="dxa"/>
            <w:vAlign w:val="center"/>
          </w:tcPr>
          <w:p>
            <w:pPr>
              <w:pStyle w:val="29"/>
              <w:jc w:val="center"/>
              <w:rPr>
                <w:highlight w:val="none"/>
              </w:rPr>
            </w:pPr>
          </w:p>
        </w:tc>
        <w:tc>
          <w:tcPr>
            <w:tcW w:w="2410" w:type="dxa"/>
            <w:vAlign w:val="center"/>
          </w:tcPr>
          <w:p>
            <w:pPr>
              <w:pStyle w:val="29"/>
              <w:jc w:val="center"/>
              <w:rPr>
                <w:highlight w:val="none"/>
              </w:rPr>
            </w:pPr>
          </w:p>
        </w:tc>
        <w:tc>
          <w:tcPr>
            <w:tcW w:w="2575"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 w:type="dxa"/>
            <w:vAlign w:val="center"/>
          </w:tcPr>
          <w:p>
            <w:pPr>
              <w:pStyle w:val="29"/>
              <w:jc w:val="center"/>
              <w:rPr>
                <w:highlight w:val="none"/>
              </w:rPr>
            </w:pPr>
            <w:r>
              <w:rPr>
                <w:rFonts w:hint="eastAsia"/>
                <w:highlight w:val="none"/>
              </w:rPr>
              <w:t>3</w:t>
            </w:r>
          </w:p>
        </w:tc>
        <w:tc>
          <w:tcPr>
            <w:tcW w:w="977" w:type="dxa"/>
            <w:vAlign w:val="center"/>
          </w:tcPr>
          <w:p>
            <w:pPr>
              <w:pStyle w:val="29"/>
              <w:jc w:val="center"/>
              <w:rPr>
                <w:highlight w:val="none"/>
              </w:rPr>
            </w:pPr>
            <w:r>
              <w:rPr>
                <w:rFonts w:hint="eastAsia"/>
                <w:highlight w:val="none"/>
              </w:rPr>
              <w:t>29座</w:t>
            </w:r>
          </w:p>
        </w:tc>
        <w:tc>
          <w:tcPr>
            <w:tcW w:w="2551" w:type="dxa"/>
            <w:vAlign w:val="center"/>
          </w:tcPr>
          <w:p>
            <w:pPr>
              <w:pStyle w:val="29"/>
              <w:jc w:val="center"/>
              <w:rPr>
                <w:highlight w:val="none"/>
              </w:rPr>
            </w:pPr>
          </w:p>
        </w:tc>
        <w:tc>
          <w:tcPr>
            <w:tcW w:w="2410" w:type="dxa"/>
            <w:vAlign w:val="center"/>
          </w:tcPr>
          <w:p>
            <w:pPr>
              <w:pStyle w:val="29"/>
              <w:jc w:val="center"/>
              <w:rPr>
                <w:highlight w:val="none"/>
              </w:rPr>
            </w:pPr>
          </w:p>
        </w:tc>
        <w:tc>
          <w:tcPr>
            <w:tcW w:w="2575"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008" w:type="dxa"/>
            <w:vAlign w:val="center"/>
          </w:tcPr>
          <w:p>
            <w:pPr>
              <w:pStyle w:val="29"/>
              <w:jc w:val="center"/>
              <w:rPr>
                <w:highlight w:val="none"/>
              </w:rPr>
            </w:pPr>
            <w:r>
              <w:rPr>
                <w:rFonts w:hint="eastAsia"/>
                <w:highlight w:val="none"/>
              </w:rPr>
              <w:t>4</w:t>
            </w:r>
          </w:p>
        </w:tc>
        <w:tc>
          <w:tcPr>
            <w:tcW w:w="977" w:type="dxa"/>
            <w:vAlign w:val="center"/>
          </w:tcPr>
          <w:p>
            <w:pPr>
              <w:pStyle w:val="29"/>
              <w:jc w:val="center"/>
              <w:rPr>
                <w:highlight w:val="none"/>
              </w:rPr>
            </w:pPr>
            <w:r>
              <w:rPr>
                <w:rFonts w:hint="eastAsia"/>
                <w:highlight w:val="none"/>
              </w:rPr>
              <w:t>38座</w:t>
            </w:r>
          </w:p>
        </w:tc>
        <w:tc>
          <w:tcPr>
            <w:tcW w:w="2551" w:type="dxa"/>
            <w:vAlign w:val="center"/>
          </w:tcPr>
          <w:p>
            <w:pPr>
              <w:pStyle w:val="29"/>
              <w:jc w:val="center"/>
              <w:rPr>
                <w:highlight w:val="none"/>
              </w:rPr>
            </w:pPr>
          </w:p>
        </w:tc>
        <w:tc>
          <w:tcPr>
            <w:tcW w:w="2410" w:type="dxa"/>
            <w:vAlign w:val="center"/>
          </w:tcPr>
          <w:p>
            <w:pPr>
              <w:pStyle w:val="29"/>
              <w:jc w:val="center"/>
              <w:rPr>
                <w:highlight w:val="none"/>
              </w:rPr>
            </w:pPr>
          </w:p>
        </w:tc>
        <w:tc>
          <w:tcPr>
            <w:tcW w:w="2575"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008" w:type="dxa"/>
            <w:vAlign w:val="center"/>
          </w:tcPr>
          <w:p>
            <w:pPr>
              <w:pStyle w:val="29"/>
              <w:jc w:val="center"/>
              <w:rPr>
                <w:highlight w:val="none"/>
              </w:rPr>
            </w:pPr>
            <w:r>
              <w:rPr>
                <w:rFonts w:hint="eastAsia"/>
                <w:highlight w:val="none"/>
              </w:rPr>
              <w:t>5</w:t>
            </w:r>
          </w:p>
        </w:tc>
        <w:tc>
          <w:tcPr>
            <w:tcW w:w="977" w:type="dxa"/>
            <w:vAlign w:val="center"/>
          </w:tcPr>
          <w:p>
            <w:pPr>
              <w:pStyle w:val="29"/>
              <w:jc w:val="center"/>
              <w:rPr>
                <w:highlight w:val="none"/>
              </w:rPr>
            </w:pPr>
            <w:r>
              <w:rPr>
                <w:rFonts w:hint="eastAsia"/>
                <w:highlight w:val="none"/>
              </w:rPr>
              <w:t>48座</w:t>
            </w:r>
          </w:p>
        </w:tc>
        <w:tc>
          <w:tcPr>
            <w:tcW w:w="2551" w:type="dxa"/>
            <w:vAlign w:val="center"/>
          </w:tcPr>
          <w:p>
            <w:pPr>
              <w:pStyle w:val="29"/>
              <w:jc w:val="center"/>
              <w:rPr>
                <w:highlight w:val="none"/>
              </w:rPr>
            </w:pPr>
          </w:p>
        </w:tc>
        <w:tc>
          <w:tcPr>
            <w:tcW w:w="2410" w:type="dxa"/>
            <w:vAlign w:val="center"/>
          </w:tcPr>
          <w:p>
            <w:pPr>
              <w:pStyle w:val="29"/>
              <w:jc w:val="center"/>
              <w:rPr>
                <w:highlight w:val="none"/>
              </w:rPr>
            </w:pPr>
          </w:p>
        </w:tc>
        <w:tc>
          <w:tcPr>
            <w:tcW w:w="2575"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008" w:type="dxa"/>
            <w:vAlign w:val="center"/>
          </w:tcPr>
          <w:p>
            <w:pPr>
              <w:pStyle w:val="29"/>
              <w:jc w:val="center"/>
              <w:rPr>
                <w:highlight w:val="none"/>
              </w:rPr>
            </w:pPr>
            <w:r>
              <w:rPr>
                <w:rFonts w:hint="eastAsia"/>
                <w:highlight w:val="none"/>
              </w:rPr>
              <w:t>6</w:t>
            </w:r>
          </w:p>
        </w:tc>
        <w:tc>
          <w:tcPr>
            <w:tcW w:w="977" w:type="dxa"/>
            <w:vAlign w:val="center"/>
          </w:tcPr>
          <w:p>
            <w:pPr>
              <w:pStyle w:val="29"/>
              <w:jc w:val="center"/>
              <w:rPr>
                <w:highlight w:val="none"/>
              </w:rPr>
            </w:pPr>
            <w:r>
              <w:rPr>
                <w:rFonts w:hint="eastAsia"/>
                <w:highlight w:val="none"/>
              </w:rPr>
              <w:t>54座</w:t>
            </w:r>
          </w:p>
        </w:tc>
        <w:tc>
          <w:tcPr>
            <w:tcW w:w="2551" w:type="dxa"/>
            <w:vAlign w:val="center"/>
          </w:tcPr>
          <w:p>
            <w:pPr>
              <w:pStyle w:val="29"/>
              <w:jc w:val="center"/>
              <w:rPr>
                <w:highlight w:val="none"/>
              </w:rPr>
            </w:pPr>
          </w:p>
        </w:tc>
        <w:tc>
          <w:tcPr>
            <w:tcW w:w="2410" w:type="dxa"/>
            <w:vAlign w:val="center"/>
          </w:tcPr>
          <w:p>
            <w:pPr>
              <w:pStyle w:val="29"/>
              <w:jc w:val="center"/>
              <w:rPr>
                <w:highlight w:val="none"/>
              </w:rPr>
            </w:pPr>
          </w:p>
        </w:tc>
        <w:tc>
          <w:tcPr>
            <w:tcW w:w="2575" w:type="dxa"/>
            <w:vAlign w:val="center"/>
          </w:tcPr>
          <w:p>
            <w:pPr>
              <w:pStyle w:val="29"/>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exact"/>
        </w:trPr>
        <w:tc>
          <w:tcPr>
            <w:tcW w:w="1008" w:type="dxa"/>
            <w:vAlign w:val="center"/>
          </w:tcPr>
          <w:p>
            <w:pPr>
              <w:pStyle w:val="29"/>
              <w:jc w:val="center"/>
              <w:rPr>
                <w:highlight w:val="none"/>
              </w:rPr>
            </w:pPr>
            <w:r>
              <w:rPr>
                <w:rFonts w:hint="eastAsia"/>
                <w:highlight w:val="none"/>
              </w:rPr>
              <w:t>说明</w:t>
            </w:r>
          </w:p>
        </w:tc>
        <w:tc>
          <w:tcPr>
            <w:tcW w:w="8513" w:type="dxa"/>
            <w:gridSpan w:val="4"/>
            <w:vAlign w:val="center"/>
          </w:tcPr>
          <w:p>
            <w:pPr>
              <w:pStyle w:val="29"/>
              <w:rPr>
                <w:highlight w:val="none"/>
              </w:rPr>
            </w:pPr>
            <w:r>
              <w:rPr>
                <w:rFonts w:hint="eastAsia"/>
                <w:highlight w:val="none"/>
              </w:rPr>
              <w:t>临时用车费用按梯次计算</w:t>
            </w:r>
            <w:r>
              <w:rPr>
                <w:rFonts w:hint="eastAsia"/>
                <w:highlight w:val="none"/>
                <w:lang w:eastAsia="zh-CN"/>
              </w:rPr>
              <w:t>，里程计算起点按采购人指定的起点计算</w:t>
            </w:r>
            <w:r>
              <w:rPr>
                <w:rFonts w:hint="eastAsia"/>
                <w:highlight w:val="none"/>
              </w:rPr>
              <w:t>，例：某次用车里程120公里，车型9座，费用=50公里内的包干价+50*（50-100公里单价）+20*（100公里以上单价）</w:t>
            </w:r>
          </w:p>
        </w:tc>
      </w:tr>
    </w:tbl>
    <w:p>
      <w:pPr>
        <w:spacing w:line="500" w:lineRule="exact"/>
        <w:ind w:firstLine="480" w:firstLineChars="200"/>
        <w:rPr>
          <w:rFonts w:asciiTheme="minorEastAsia" w:hAnsiTheme="minorEastAsia" w:eastAsiaTheme="minorEastAsia"/>
          <w:sz w:val="24"/>
          <w:szCs w:val="28"/>
          <w:highlight w:val="none"/>
        </w:rPr>
      </w:pPr>
    </w:p>
    <w:p>
      <w:pPr>
        <w:spacing w:line="500" w:lineRule="exact"/>
        <w:ind w:firstLine="480" w:firstLineChars="200"/>
        <w:rPr>
          <w:rFonts w:hint="default" w:asciiTheme="minorEastAsia" w:hAnsiTheme="minorEastAsia" w:eastAsiaTheme="minorEastAsia"/>
          <w:sz w:val="24"/>
          <w:szCs w:val="28"/>
          <w:highlight w:val="none"/>
          <w:lang w:val="en-US" w:eastAsia="zh-CN"/>
        </w:rPr>
      </w:pPr>
      <w:r>
        <w:rPr>
          <w:rFonts w:hint="eastAsia" w:asciiTheme="minorEastAsia" w:hAnsiTheme="minorEastAsia" w:eastAsiaTheme="minorEastAsia"/>
          <w:sz w:val="24"/>
          <w:szCs w:val="28"/>
          <w:highlight w:val="none"/>
        </w:rPr>
        <w:t>备注：1.学生用车报价表中,按实际车次结算，实际增减不超过总车次10%,单价为同一路线单次往返的价格；相同车型、相同时间的报价</w:t>
      </w:r>
      <w:r>
        <w:rPr>
          <w:rFonts w:hint="eastAsia" w:asciiTheme="minorEastAsia" w:hAnsiTheme="minorEastAsia" w:eastAsiaTheme="minorEastAsia"/>
          <w:sz w:val="24"/>
          <w:szCs w:val="28"/>
          <w:highlight w:val="none"/>
          <w:lang w:eastAsia="zh-CN"/>
        </w:rPr>
        <w:t>须一致</w:t>
      </w:r>
      <w:r>
        <w:rPr>
          <w:rFonts w:hint="eastAsia" w:asciiTheme="minorEastAsia" w:hAnsiTheme="minorEastAsia" w:eastAsiaTheme="minorEastAsia"/>
          <w:sz w:val="24"/>
          <w:szCs w:val="28"/>
          <w:highlight w:val="none"/>
        </w:rPr>
        <w:t>；</w:t>
      </w:r>
      <w:r>
        <w:rPr>
          <w:rFonts w:hint="eastAsia" w:asciiTheme="minorEastAsia" w:hAnsiTheme="minorEastAsia" w:eastAsiaTheme="minorEastAsia"/>
          <w:sz w:val="24"/>
          <w:szCs w:val="28"/>
          <w:highlight w:val="none"/>
          <w:lang w:eastAsia="zh-CN"/>
        </w:rPr>
        <w:t>数量为</w:t>
      </w:r>
      <w:r>
        <w:rPr>
          <w:rFonts w:hint="eastAsia" w:asciiTheme="minorEastAsia" w:hAnsiTheme="minorEastAsia" w:eastAsiaTheme="minorEastAsia"/>
          <w:sz w:val="24"/>
          <w:szCs w:val="28"/>
          <w:highlight w:val="none"/>
          <w:lang w:val="en-US" w:eastAsia="zh-CN"/>
        </w:rPr>
        <w:t>0的车次也需要报价。</w:t>
      </w:r>
    </w:p>
    <w:p>
      <w:pPr>
        <w:spacing w:line="500" w:lineRule="exact"/>
        <w:ind w:firstLine="480" w:firstLineChars="200"/>
        <w:rPr>
          <w:rFonts w:asciiTheme="minorEastAsia" w:hAnsiTheme="minorEastAsia" w:eastAsiaTheme="minorEastAsia"/>
          <w:sz w:val="24"/>
          <w:szCs w:val="28"/>
          <w:highlight w:val="none"/>
        </w:rPr>
      </w:pPr>
      <w:r>
        <w:rPr>
          <w:rFonts w:hint="eastAsia" w:ascii="方正仿宋_GBK" w:hAnsi="仿宋" w:eastAsia="方正仿宋_GBK"/>
          <w:sz w:val="24"/>
          <w:szCs w:val="28"/>
          <w:highlight w:val="none"/>
        </w:rPr>
        <w:t xml:space="preserve">      2</w:t>
      </w:r>
      <w:r>
        <w:rPr>
          <w:rFonts w:hint="eastAsia" w:asciiTheme="minorEastAsia" w:hAnsiTheme="minorEastAsia" w:eastAsiaTheme="minorEastAsia"/>
          <w:sz w:val="24"/>
          <w:szCs w:val="28"/>
          <w:highlight w:val="none"/>
        </w:rPr>
        <w:t>.临时用车需求，行程公里数结算标准按照导航最近距离</w:t>
      </w:r>
      <w:r>
        <w:rPr>
          <w:rFonts w:asciiTheme="minorEastAsia" w:hAnsiTheme="minorEastAsia" w:eastAsiaTheme="minorEastAsia"/>
          <w:sz w:val="24"/>
          <w:szCs w:val="28"/>
          <w:highlight w:val="none"/>
        </w:rPr>
        <w:t>四</w:t>
      </w:r>
      <w:r>
        <w:rPr>
          <w:rFonts w:hint="eastAsia" w:asciiTheme="minorEastAsia" w:hAnsiTheme="minorEastAsia" w:eastAsiaTheme="minorEastAsia"/>
          <w:sz w:val="24"/>
          <w:szCs w:val="28"/>
          <w:highlight w:val="none"/>
        </w:rPr>
        <w:t>舍五入后取整计算。</w:t>
      </w:r>
    </w:p>
    <w:p>
      <w:pPr>
        <w:spacing w:line="500" w:lineRule="exact"/>
        <w:ind w:firstLine="480" w:firstLineChars="200"/>
        <w:rPr>
          <w:rFonts w:cs="仿宋"/>
          <w:sz w:val="24"/>
          <w:szCs w:val="24"/>
          <w:highlight w:val="none"/>
        </w:rPr>
      </w:pPr>
      <w:r>
        <w:rPr>
          <w:rFonts w:hint="eastAsia" w:asciiTheme="minorEastAsia" w:hAnsiTheme="minorEastAsia" w:eastAsiaTheme="minorEastAsia"/>
          <w:sz w:val="24"/>
          <w:szCs w:val="28"/>
          <w:highlight w:val="none"/>
        </w:rPr>
        <w:t xml:space="preserve">      3.</w:t>
      </w:r>
      <w:r>
        <w:rPr>
          <w:rFonts w:hint="eastAsia" w:cs="仿宋"/>
          <w:sz w:val="24"/>
          <w:szCs w:val="24"/>
          <w:highlight w:val="none"/>
        </w:rPr>
        <w:t>若产生高速公路过路费和驾驶员食宿费等，均包含在本次报价中，采购人不额外支付相关费用。</w:t>
      </w:r>
    </w:p>
    <w:p>
      <w:pPr>
        <w:jc w:val="left"/>
        <w:rPr>
          <w:b/>
          <w:color w:val="FF0000"/>
          <w:sz w:val="28"/>
          <w:szCs w:val="28"/>
          <w:highlight w:val="none"/>
        </w:rPr>
      </w:pPr>
      <w:r>
        <w:rPr>
          <w:rFonts w:hint="eastAsia" w:cs="仿宋"/>
          <w:sz w:val="24"/>
          <w:szCs w:val="24"/>
          <w:highlight w:val="none"/>
        </w:rPr>
        <w:t xml:space="preserve">     </w:t>
      </w:r>
      <w:r>
        <w:rPr>
          <w:rFonts w:hint="eastAsia" w:cs="仿宋"/>
          <w:sz w:val="24"/>
          <w:szCs w:val="24"/>
          <w:highlight w:val="none"/>
          <w:lang w:val="en-US" w:eastAsia="zh-CN"/>
        </w:rPr>
        <w:t xml:space="preserve">    </w:t>
      </w:r>
      <w:r>
        <w:rPr>
          <w:rFonts w:hint="eastAsia" w:cs="仿宋"/>
          <w:sz w:val="24"/>
          <w:szCs w:val="24"/>
          <w:highlight w:val="none"/>
        </w:rPr>
        <w:t xml:space="preserve"> 4.</w:t>
      </w:r>
      <w:r>
        <w:rPr>
          <w:rFonts w:hint="eastAsia" w:asciiTheme="minorEastAsia" w:hAnsiTheme="minorEastAsia" w:eastAsiaTheme="minorEastAsia"/>
          <w:sz w:val="24"/>
          <w:szCs w:val="28"/>
          <w:highlight w:val="none"/>
        </w:rPr>
        <w:t>“临时用车需求报价表”中报价不计入投标总价进行评标，但投标人报价应符合市场行情，若高于市场价格，采购人可取消其中标资格。</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3F7199B"/>
    <w:rsid w:val="0CDD0D0C"/>
    <w:rsid w:val="105765E1"/>
    <w:rsid w:val="194F58BE"/>
    <w:rsid w:val="1B300109"/>
    <w:rsid w:val="1BCD62CE"/>
    <w:rsid w:val="1DD957B9"/>
    <w:rsid w:val="27D524AA"/>
    <w:rsid w:val="3DC44A37"/>
    <w:rsid w:val="5F294F51"/>
    <w:rsid w:val="64C50CB4"/>
    <w:rsid w:val="68A90ECB"/>
    <w:rsid w:val="710C1EC5"/>
    <w:rsid w:val="72D54280"/>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paragraph" w:customStyle="1" w:styleId="29">
    <w:name w:val="正文 A"/>
    <w:qFormat/>
    <w:uiPriority w:val="0"/>
    <w:pPr>
      <w:widowControl w:val="0"/>
      <w:ind w:firstLine="21"/>
    </w:pPr>
    <w:rPr>
      <w:rFonts w:ascii="Times New Roman" w:hAnsi="Times New Roman" w:eastAsia="Arial Unicode MS" w:cs="Arial Unicode MS"/>
      <w:color w:val="000000"/>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4384</Words>
  <Characters>4720</Characters>
  <Lines>7</Lines>
  <Paragraphs>2</Paragraphs>
  <TotalTime>5</TotalTime>
  <ScaleCrop>false</ScaleCrop>
  <LinksUpToDate>false</LinksUpToDate>
  <CharactersWithSpaces>4852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2023-06-12T00:48:58Z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2D5B627AABB542D096258FD762A3E76D</vt:lpwstr>
  </property>
</Properties>
</file>