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w:t>
      </w:r>
      <w:r>
        <w:rPr>
          <w:rFonts w:hint="eastAsia" w:cs="Tahoma" w:asciiTheme="minorEastAsia" w:hAnsiTheme="minorEastAsia"/>
          <w:b/>
          <w:color w:val="333333"/>
          <w:sz w:val="28"/>
          <w:szCs w:val="28"/>
          <w:highlight w:val="none"/>
          <w:shd w:val="clear" w:color="auto" w:fill="FFFFFF"/>
        </w:rPr>
        <w:t>式发布招标公告的技术要求为准。</w:t>
      </w:r>
    </w:p>
    <w:p>
      <w:pPr>
        <w:rPr>
          <w:rFonts w:cs="Tahoma" w:asciiTheme="minorEastAsia" w:hAnsiTheme="minorEastAsia"/>
          <w:b/>
          <w:color w:val="FF0000"/>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三、需求公告时间202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邹</w:t>
      </w:r>
      <w:r>
        <w:rPr>
          <w:rFonts w:hint="eastAsia" w:cs="Tahoma" w:asciiTheme="minorEastAsia" w:hAnsiTheme="minorEastAsia"/>
          <w:b/>
          <w:color w:val="333333"/>
          <w:sz w:val="28"/>
          <w:szCs w:val="28"/>
          <w:highlight w:val="none"/>
          <w:shd w:val="clear" w:color="auto" w:fill="FFFFFF"/>
        </w:rPr>
        <w:t>老师</w:t>
      </w:r>
      <w:r>
        <w:rPr>
          <w:rFonts w:hint="eastAsia" w:cs="Tahoma" w:asciiTheme="minorEastAsia" w:hAnsiTheme="minorEastAsia"/>
          <w:b/>
          <w:color w:val="333333"/>
          <w:sz w:val="28"/>
          <w:szCs w:val="28"/>
          <w:highlight w:val="none"/>
          <w:shd w:val="clear" w:color="auto" w:fill="FFFFFF"/>
          <w:lang w:val="en-US" w:eastAsia="zh-CN"/>
        </w:rPr>
        <w:t>88765626</w:t>
      </w:r>
      <w:r>
        <w:rPr>
          <w:rFonts w:hint="eastAsia" w:cs="Tahoma" w:asciiTheme="minorEastAsia" w:hAnsiTheme="minorEastAsia"/>
          <w:b/>
          <w:color w:val="333333"/>
          <w:sz w:val="28"/>
          <w:szCs w:val="28"/>
          <w:highlight w:val="none"/>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北部院区EPS消防型应急照明电源</w:t>
      </w:r>
      <w:r>
        <w:rPr>
          <w:rFonts w:hint="eastAsia" w:ascii="Calibri" w:hAnsi="Calibri" w:eastAsia="宋体" w:cs="Times New Roman"/>
          <w:b/>
          <w:color w:val="000000"/>
          <w:sz w:val="28"/>
          <w:szCs w:val="28"/>
        </w:rPr>
        <w:t>采购项目</w:t>
      </w:r>
    </w:p>
    <w:tbl>
      <w:tblPr>
        <w:tblStyle w:val="13"/>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报价企业性质：</w:t>
            </w:r>
            <w:bookmarkStart w:id="6" w:name="_GoBack"/>
            <w:bookmarkEnd w:id="6"/>
            <w:r>
              <w:rPr>
                <w:rFonts w:hint="eastAsia" w:ascii="宋体" w:hAnsi="宋体" w:eastAsia="宋体" w:cs="宋体"/>
                <w:sz w:val="24"/>
                <w:szCs w:val="24"/>
                <w:lang w:val="en-US" w:eastAsia="zh-CN"/>
              </w:rPr>
              <w:t xml:space="preserve">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eastAsia" w:ascii="宋体" w:hAnsi="宋体" w:eastAsia="宋体" w:cs="宋体"/>
                <w:sz w:val="24"/>
                <w:szCs w:val="24"/>
                <w:lang w:eastAsia="zh-CN"/>
              </w:rPr>
            </w:pPr>
            <w:r>
              <w:rPr>
                <w:rFonts w:hint="eastAsia" w:ascii="宋体" w:hAnsi="宋体" w:eastAsia="宋体" w:cs="宋体"/>
                <w:sz w:val="24"/>
                <w:szCs w:val="24"/>
              </w:rPr>
              <w:t>报价：总价      元（</w:t>
            </w:r>
            <w:r>
              <w:rPr>
                <w:rFonts w:hint="eastAsia" w:ascii="宋体" w:hAnsi="宋体" w:eastAsia="宋体" w:cs="宋体"/>
                <w:sz w:val="24"/>
                <w:szCs w:val="24"/>
                <w:lang w:eastAsia="zh-CN"/>
              </w:rPr>
              <w:t>附分项报价明细表</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质保</w:t>
            </w:r>
            <w:r>
              <w:rPr>
                <w:rFonts w:hint="eastAsia" w:ascii="宋体" w:hAnsi="宋体" w:eastAsia="宋体" w:cs="宋体"/>
                <w:sz w:val="24"/>
                <w:szCs w:val="24"/>
              </w:rPr>
              <w:t xml:space="preserve">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报价要求具体见附件</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项目要求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left"/>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见附件</w:t>
            </w:r>
          </w:p>
        </w:tc>
        <w:tc>
          <w:tcPr>
            <w:tcW w:w="1701" w:type="dxa"/>
          </w:tcPr>
          <w:p>
            <w:pPr>
              <w:spacing w:line="276" w:lineRule="auto"/>
              <w:jc w:val="center"/>
              <w:rPr>
                <w:rFonts w:hint="eastAsia" w:ascii="宋体" w:hAnsi="宋体" w:eastAsia="宋体" w:cs="宋体"/>
                <w:sz w:val="24"/>
                <w:szCs w:val="24"/>
              </w:rPr>
            </w:pPr>
          </w:p>
        </w:tc>
      </w:tr>
    </w:tbl>
    <w:p>
      <w:pPr>
        <w:jc w:val="left"/>
        <w:rPr>
          <w:b/>
          <w:color w:val="FF0000"/>
          <w:sz w:val="28"/>
          <w:szCs w:val="28"/>
        </w:rPr>
      </w:pPr>
    </w:p>
    <w:p>
      <w:r>
        <w:br w:type="page"/>
      </w:r>
    </w:p>
    <w:p>
      <w:pPr>
        <w:pStyle w:val="3"/>
        <w:ind w:firstLine="482" w:firstLineChars="200"/>
        <w:rPr>
          <w:rFonts w:hint="eastAsia"/>
          <w:b/>
          <w:sz w:val="24"/>
          <w:lang w:val="en-US" w:eastAsia="zh-CN"/>
        </w:rPr>
      </w:pPr>
      <w:r>
        <w:rPr>
          <w:rFonts w:hint="eastAsia"/>
          <w:b/>
          <w:sz w:val="24"/>
          <w:lang w:val="en-US" w:eastAsia="zh-CN"/>
        </w:rPr>
        <w:t>附件：</w:t>
      </w:r>
    </w:p>
    <w:p>
      <w:pPr>
        <w:pStyle w:val="3"/>
        <w:ind w:firstLine="482" w:firstLineChars="200"/>
        <w:rPr>
          <w:b/>
          <w:sz w:val="24"/>
        </w:rPr>
      </w:pPr>
      <w:r>
        <w:rPr>
          <w:rFonts w:hint="eastAsia"/>
          <w:b/>
          <w:sz w:val="24"/>
          <w:lang w:val="en-US" w:eastAsia="zh-CN"/>
        </w:rPr>
        <w:t>一、</w:t>
      </w:r>
      <w:r>
        <w:rPr>
          <w:rFonts w:hint="eastAsia"/>
          <w:b/>
          <w:sz w:val="24"/>
        </w:rPr>
        <w:t>货物一览表</w:t>
      </w:r>
    </w:p>
    <w:tbl>
      <w:tblPr>
        <w:tblStyle w:val="13"/>
        <w:tblW w:w="4517" w:type="pct"/>
        <w:tblInd w:w="959" w:type="dxa"/>
        <w:tblLayout w:type="autofit"/>
        <w:tblCellMar>
          <w:top w:w="0" w:type="dxa"/>
          <w:left w:w="108" w:type="dxa"/>
          <w:bottom w:w="0" w:type="dxa"/>
          <w:right w:w="108" w:type="dxa"/>
        </w:tblCellMar>
      </w:tblPr>
      <w:tblGrid>
        <w:gridCol w:w="497"/>
        <w:gridCol w:w="1722"/>
        <w:gridCol w:w="498"/>
        <w:gridCol w:w="498"/>
        <w:gridCol w:w="5822"/>
      </w:tblGrid>
      <w:tr>
        <w:tblPrEx>
          <w:tblCellMar>
            <w:top w:w="0" w:type="dxa"/>
            <w:left w:w="108" w:type="dxa"/>
            <w:bottom w:w="0" w:type="dxa"/>
            <w:right w:w="108" w:type="dxa"/>
          </w:tblCellMar>
        </w:tblPrEx>
        <w:trPr>
          <w:trHeight w:val="288" w:hRule="atLeast"/>
        </w:trPr>
        <w:tc>
          <w:tcPr>
            <w:tcW w:w="4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7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设备名称</w:t>
            </w:r>
          </w:p>
        </w:tc>
        <w:tc>
          <w:tcPr>
            <w:tcW w:w="48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数量</w:t>
            </w:r>
          </w:p>
        </w:tc>
        <w:tc>
          <w:tcPr>
            <w:tcW w:w="46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单位 </w:t>
            </w:r>
          </w:p>
        </w:tc>
        <w:tc>
          <w:tcPr>
            <w:tcW w:w="18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kern w:val="0"/>
                <w:sz w:val="22"/>
                <w:szCs w:val="22"/>
                <w:lang w:val="en-US" w:eastAsia="zh-CN"/>
              </w:rPr>
            </w:pPr>
            <w:r>
              <w:rPr>
                <w:rFonts w:hint="eastAsia" w:ascii="宋体" w:hAnsi="宋体" w:cs="宋体"/>
                <w:b/>
                <w:kern w:val="0"/>
                <w:sz w:val="22"/>
                <w:szCs w:val="22"/>
                <w:lang w:val="en-US" w:eastAsia="zh-CN"/>
              </w:rPr>
              <w:t>备注</w:t>
            </w:r>
          </w:p>
        </w:tc>
      </w:tr>
      <w:tr>
        <w:tblPrEx>
          <w:tblCellMar>
            <w:top w:w="0" w:type="dxa"/>
            <w:left w:w="108" w:type="dxa"/>
            <w:bottom w:w="0" w:type="dxa"/>
            <w:right w:w="108" w:type="dxa"/>
          </w:tblCellMar>
        </w:tblPrEx>
        <w:trPr>
          <w:trHeight w:val="288"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175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EPS消防型应急照明电源</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17</w:t>
            </w:r>
          </w:p>
        </w:tc>
        <w:tc>
          <w:tcPr>
            <w:tcW w:w="4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台</w:t>
            </w:r>
          </w:p>
        </w:tc>
        <w:tc>
          <w:tcPr>
            <w:tcW w:w="18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电池推荐品牌：天能、超威、风帆、骆驼、瓦尔塔、理士、南都、奥克莱、海荣、克洛塔尔</w:t>
            </w:r>
          </w:p>
        </w:tc>
      </w:tr>
      <w:tr>
        <w:tblPrEx>
          <w:tblCellMar>
            <w:top w:w="0" w:type="dxa"/>
            <w:left w:w="108" w:type="dxa"/>
            <w:bottom w:w="0" w:type="dxa"/>
            <w:right w:w="108" w:type="dxa"/>
          </w:tblCellMar>
        </w:tblPrEx>
        <w:trPr>
          <w:trHeight w:val="288" w:hRule="atLeast"/>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2</w:t>
            </w:r>
          </w:p>
        </w:tc>
        <w:tc>
          <w:tcPr>
            <w:tcW w:w="17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辅材</w:t>
            </w:r>
          </w:p>
        </w:tc>
        <w:tc>
          <w:tcPr>
            <w:tcW w:w="4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4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批</w:t>
            </w:r>
          </w:p>
        </w:tc>
        <w:tc>
          <w:tcPr>
            <w:tcW w:w="18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kern w:val="0"/>
                <w:sz w:val="22"/>
                <w:szCs w:val="22"/>
              </w:rPr>
            </w:pPr>
          </w:p>
        </w:tc>
      </w:tr>
      <w:tr>
        <w:tblPrEx>
          <w:tblCellMar>
            <w:top w:w="0" w:type="dxa"/>
            <w:left w:w="108" w:type="dxa"/>
            <w:bottom w:w="0" w:type="dxa"/>
            <w:right w:w="108" w:type="dxa"/>
          </w:tblCellMar>
        </w:tblPrEx>
        <w:trPr>
          <w:trHeight w:val="288" w:hRule="atLeast"/>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3</w:t>
            </w:r>
          </w:p>
        </w:tc>
        <w:tc>
          <w:tcPr>
            <w:tcW w:w="1750"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安装费用</w:t>
            </w:r>
          </w:p>
        </w:tc>
        <w:tc>
          <w:tcPr>
            <w:tcW w:w="4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17</w:t>
            </w:r>
          </w:p>
        </w:tc>
        <w:tc>
          <w:tcPr>
            <w:tcW w:w="46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台</w:t>
            </w:r>
          </w:p>
        </w:tc>
        <w:tc>
          <w:tcPr>
            <w:tcW w:w="18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kern w:val="0"/>
                <w:sz w:val="22"/>
                <w:szCs w:val="22"/>
                <w:lang w:val="en-US" w:eastAsia="zh-CN"/>
              </w:rPr>
            </w:pPr>
          </w:p>
        </w:tc>
      </w:tr>
      <w:tr>
        <w:tblPrEx>
          <w:tblCellMar>
            <w:top w:w="0" w:type="dxa"/>
            <w:left w:w="108" w:type="dxa"/>
            <w:bottom w:w="0" w:type="dxa"/>
            <w:right w:w="108" w:type="dxa"/>
          </w:tblCellMar>
        </w:tblPrEx>
        <w:trPr>
          <w:trHeight w:val="288" w:hRule="atLeast"/>
        </w:trPr>
        <w:tc>
          <w:tcPr>
            <w:tcW w:w="4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4</w:t>
            </w:r>
          </w:p>
        </w:tc>
        <w:tc>
          <w:tcPr>
            <w:tcW w:w="1750"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原有设备拆除及处理</w:t>
            </w:r>
          </w:p>
        </w:tc>
        <w:tc>
          <w:tcPr>
            <w:tcW w:w="4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17</w:t>
            </w:r>
          </w:p>
        </w:tc>
        <w:tc>
          <w:tcPr>
            <w:tcW w:w="46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项</w:t>
            </w:r>
          </w:p>
        </w:tc>
        <w:tc>
          <w:tcPr>
            <w:tcW w:w="18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kern w:val="0"/>
                <w:sz w:val="22"/>
                <w:szCs w:val="22"/>
                <w:lang w:val="en-US" w:eastAsia="zh-CN"/>
              </w:rPr>
            </w:pPr>
          </w:p>
        </w:tc>
      </w:tr>
    </w:tbl>
    <w:p>
      <w:pPr>
        <w:widowControl/>
        <w:jc w:val="left"/>
        <w:rPr>
          <w:rFonts w:ascii="宋体" w:hAnsi="宋体"/>
          <w:b/>
          <w:sz w:val="24"/>
        </w:rPr>
      </w:pPr>
    </w:p>
    <w:p>
      <w:pPr>
        <w:pStyle w:val="3"/>
        <w:numPr>
          <w:ilvl w:val="0"/>
          <w:numId w:val="0"/>
        </w:numPr>
        <w:ind w:firstLine="241" w:firstLineChars="100"/>
        <w:rPr>
          <w:b/>
          <w:sz w:val="24"/>
        </w:rPr>
      </w:pPr>
      <w:r>
        <w:rPr>
          <w:rFonts w:hint="eastAsia"/>
          <w:b/>
          <w:sz w:val="24"/>
          <w:lang w:val="en-US" w:eastAsia="zh-CN"/>
        </w:rPr>
        <w:t>二、</w:t>
      </w:r>
      <w:r>
        <w:rPr>
          <w:rFonts w:hint="eastAsia"/>
          <w:b/>
          <w:sz w:val="24"/>
        </w:rPr>
        <w:t>技术参数要求</w:t>
      </w:r>
    </w:p>
    <w:tbl>
      <w:tblPr>
        <w:tblStyle w:val="13"/>
        <w:tblW w:w="4886" w:type="pct"/>
        <w:tblInd w:w="0" w:type="dxa"/>
        <w:tblLayout w:type="fixed"/>
        <w:tblCellMar>
          <w:top w:w="0" w:type="dxa"/>
          <w:left w:w="108" w:type="dxa"/>
          <w:bottom w:w="0" w:type="dxa"/>
          <w:right w:w="108" w:type="dxa"/>
        </w:tblCellMar>
      </w:tblPr>
      <w:tblGrid>
        <w:gridCol w:w="576"/>
        <w:gridCol w:w="577"/>
        <w:gridCol w:w="6433"/>
        <w:gridCol w:w="2182"/>
      </w:tblGrid>
      <w:tr>
        <w:tblPrEx>
          <w:tblCellMar>
            <w:top w:w="0" w:type="dxa"/>
            <w:left w:w="108" w:type="dxa"/>
            <w:bottom w:w="0" w:type="dxa"/>
            <w:right w:w="108" w:type="dxa"/>
          </w:tblCellMar>
        </w:tblPrEx>
        <w:trPr>
          <w:trHeight w:val="280" w:hRule="atLeast"/>
        </w:trPr>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29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内容</w:t>
            </w:r>
          </w:p>
        </w:tc>
        <w:tc>
          <w:tcPr>
            <w:tcW w:w="3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招标参数</w:t>
            </w:r>
          </w:p>
        </w:tc>
        <w:tc>
          <w:tcPr>
            <w:tcW w:w="11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bCs/>
                <w:color w:val="auto"/>
                <w:kern w:val="0"/>
                <w:sz w:val="18"/>
                <w:szCs w:val="18"/>
                <w:highlight w:val="none"/>
                <w:lang w:eastAsia="zh-CN"/>
              </w:rPr>
            </w:pPr>
            <w:r>
              <w:rPr>
                <w:rFonts w:hint="eastAsia" w:ascii="宋体" w:hAnsi="宋体" w:cs="宋体"/>
                <w:b/>
                <w:bCs/>
                <w:color w:val="auto"/>
                <w:kern w:val="0"/>
                <w:sz w:val="18"/>
                <w:szCs w:val="18"/>
                <w:highlight w:val="none"/>
                <w:lang w:val="en-US" w:eastAsia="zh-CN"/>
              </w:rPr>
              <w:t>备注</w:t>
            </w:r>
          </w:p>
        </w:tc>
      </w:tr>
      <w:tr>
        <w:tblPrEx>
          <w:tblCellMar>
            <w:top w:w="0" w:type="dxa"/>
            <w:left w:w="108" w:type="dxa"/>
            <w:bottom w:w="0" w:type="dxa"/>
            <w:right w:w="108" w:type="dxa"/>
          </w:tblCellMar>
        </w:tblPrEx>
        <w:trPr>
          <w:trHeight w:val="537" w:hRule="atLeast"/>
        </w:trPr>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EPS应急照明电源</w:t>
            </w:r>
          </w:p>
        </w:tc>
        <w:tc>
          <w:tcPr>
            <w:tcW w:w="3293" w:type="pct"/>
            <w:tcBorders>
              <w:top w:val="nil"/>
              <w:left w:val="nil"/>
              <w:bottom w:val="single" w:color="auto" w:sz="4" w:space="0"/>
              <w:right w:val="single" w:color="auto" w:sz="4" w:space="0"/>
            </w:tcBorders>
            <w:shd w:val="clear" w:color="auto" w:fill="auto"/>
            <w:vAlign w:val="center"/>
          </w:tcPr>
          <w:p>
            <w:pPr>
              <w:numPr>
                <w:ilvl w:val="0"/>
                <w:numId w:val="1"/>
              </w:numPr>
              <w:bidi w:val="0"/>
              <w:rPr>
                <w:rFonts w:hint="eastAsia"/>
                <w:color w:val="auto"/>
                <w:lang w:val="en-US" w:eastAsia="zh-CN"/>
              </w:rPr>
            </w:pPr>
            <w:r>
              <w:rPr>
                <w:rFonts w:hint="eastAsia"/>
                <w:color w:val="auto"/>
                <w:lang w:val="en-US" w:eastAsia="zh-CN"/>
              </w:rPr>
              <w:t>容量：4KV</w:t>
            </w:r>
            <w:r>
              <w:rPr>
                <w:rFonts w:hint="default"/>
                <w:color w:val="auto"/>
                <w:lang w:val="en-US" w:eastAsia="zh-CN"/>
              </w:rPr>
              <w:t>A</w:t>
            </w:r>
            <w:r>
              <w:rPr>
                <w:rFonts w:hint="eastAsia"/>
                <w:color w:val="auto"/>
                <w:lang w:val="en-US" w:eastAsia="zh-CN"/>
              </w:rPr>
              <w:t>。</w:t>
            </w:r>
          </w:p>
          <w:p>
            <w:pPr>
              <w:numPr>
                <w:ilvl w:val="0"/>
                <w:numId w:val="1"/>
              </w:numPr>
              <w:bidi w:val="0"/>
              <w:rPr>
                <w:rFonts w:hint="default"/>
                <w:color w:val="auto"/>
                <w:lang w:val="en-US" w:eastAsia="zh-CN"/>
              </w:rPr>
            </w:pPr>
            <w:r>
              <w:rPr>
                <w:rFonts w:hint="eastAsia"/>
                <w:color w:val="auto"/>
                <w:lang w:val="en-US" w:eastAsia="zh-CN"/>
              </w:rPr>
              <w:t>机身尺寸：自行查勘现场以确定尺寸是否可行，如尺寸不适宜造成的损失投标人自行承担。</w:t>
            </w:r>
          </w:p>
          <w:p>
            <w:pPr>
              <w:numPr>
                <w:ilvl w:val="0"/>
                <w:numId w:val="1"/>
              </w:numPr>
              <w:bidi w:val="0"/>
              <w:rPr>
                <w:rFonts w:hint="eastAsia"/>
                <w:color w:val="auto"/>
                <w:lang w:val="en-US" w:eastAsia="zh-CN"/>
              </w:rPr>
            </w:pPr>
            <w:r>
              <w:rPr>
                <w:rFonts w:hint="eastAsia"/>
                <w:color w:val="auto"/>
                <w:lang w:val="en-US" w:eastAsia="zh-CN"/>
              </w:rPr>
              <w:t>输入：市电电压</w:t>
            </w:r>
            <w:r>
              <w:rPr>
                <w:rFonts w:hint="default"/>
                <w:color w:val="auto"/>
                <w:lang w:val="en-US" w:eastAsia="zh-CN"/>
              </w:rPr>
              <w:t>380</w:t>
            </w:r>
            <w:r>
              <w:rPr>
                <w:rFonts w:hint="eastAsia"/>
                <w:color w:val="auto"/>
                <w:lang w:val="en-US" w:eastAsia="zh-CN"/>
              </w:rPr>
              <w:t>VAC（+15%，-20%），市电频率50HZ±5%。</w:t>
            </w:r>
          </w:p>
          <w:p>
            <w:pPr>
              <w:numPr>
                <w:ilvl w:val="0"/>
                <w:numId w:val="1"/>
              </w:numPr>
              <w:bidi w:val="0"/>
              <w:rPr>
                <w:rFonts w:hint="default"/>
                <w:color w:val="auto"/>
                <w:lang w:val="en-US" w:eastAsia="zh-CN"/>
              </w:rPr>
            </w:pPr>
            <w:r>
              <w:rPr>
                <w:rFonts w:hint="eastAsia"/>
                <w:color w:val="auto"/>
                <w:lang w:val="en-US" w:eastAsia="zh-CN"/>
              </w:rPr>
              <w:t>输出：输出电压在正常状态与市电一致，应急状态220V±3%；输出频率正常状态与市电一致，应急状态50±0.1HZ；输出路数单相</w:t>
            </w:r>
            <w:r>
              <w:rPr>
                <w:rFonts w:hint="default"/>
                <w:color w:val="auto"/>
                <w:lang w:val="en-US" w:eastAsia="zh-CN"/>
              </w:rPr>
              <w:t>5</w:t>
            </w:r>
            <w:r>
              <w:rPr>
                <w:rFonts w:hint="eastAsia"/>
                <w:color w:val="auto"/>
                <w:lang w:val="en-US" w:eastAsia="zh-CN"/>
              </w:rPr>
              <w:t>路，输出方式为持续性输出。</w:t>
            </w:r>
          </w:p>
          <w:p>
            <w:pPr>
              <w:numPr>
                <w:ilvl w:val="0"/>
                <w:numId w:val="1"/>
              </w:numPr>
              <w:bidi w:val="0"/>
              <w:rPr>
                <w:rFonts w:hint="eastAsia"/>
                <w:color w:val="auto"/>
                <w:lang w:val="en-US" w:eastAsia="zh-CN"/>
              </w:rPr>
            </w:pPr>
            <w:r>
              <w:rPr>
                <w:rFonts w:hint="eastAsia"/>
                <w:color w:val="auto"/>
                <w:lang w:val="en-US" w:eastAsia="zh-CN"/>
              </w:rPr>
              <w:t>额定负载：主电≥96％，应急≥88％。</w:t>
            </w:r>
          </w:p>
          <w:p>
            <w:pPr>
              <w:numPr>
                <w:ilvl w:val="0"/>
                <w:numId w:val="1"/>
              </w:numPr>
              <w:bidi w:val="0"/>
              <w:rPr>
                <w:rFonts w:hint="eastAsia"/>
                <w:color w:val="auto"/>
                <w:lang w:val="en-US" w:eastAsia="zh-CN"/>
              </w:rPr>
            </w:pPr>
            <w:r>
              <w:rPr>
                <w:rFonts w:hint="eastAsia"/>
                <w:color w:val="auto"/>
                <w:lang w:val="en-US" w:eastAsia="zh-CN"/>
              </w:rPr>
              <w:t>输出波形：正弦波。</w:t>
            </w:r>
          </w:p>
          <w:p>
            <w:pPr>
              <w:numPr>
                <w:ilvl w:val="0"/>
                <w:numId w:val="1"/>
              </w:numPr>
              <w:bidi w:val="0"/>
              <w:rPr>
                <w:rFonts w:hint="eastAsia"/>
                <w:color w:val="auto"/>
                <w:lang w:val="en-US" w:eastAsia="zh-CN"/>
              </w:rPr>
            </w:pPr>
            <w:r>
              <w:rPr>
                <w:rFonts w:hint="eastAsia"/>
                <w:color w:val="auto"/>
                <w:lang w:val="en-US" w:eastAsia="zh-CN"/>
              </w:rPr>
              <w:t>切换时间：应≤</w:t>
            </w:r>
            <w:r>
              <w:rPr>
                <w:rFonts w:hint="default"/>
                <w:color w:val="auto"/>
                <w:lang w:val="en-US" w:eastAsia="zh-CN"/>
              </w:rPr>
              <w:t>5</w:t>
            </w:r>
            <w:r>
              <w:rPr>
                <w:rFonts w:hint="eastAsia"/>
                <w:color w:val="auto"/>
                <w:lang w:val="en-US" w:eastAsia="zh-CN"/>
              </w:rPr>
              <w:t>s。</w:t>
            </w:r>
          </w:p>
          <w:p>
            <w:pPr>
              <w:numPr>
                <w:ilvl w:val="0"/>
                <w:numId w:val="1"/>
              </w:numPr>
              <w:bidi w:val="0"/>
              <w:rPr>
                <w:rFonts w:hint="eastAsia"/>
                <w:color w:val="auto"/>
                <w:lang w:val="en-US" w:eastAsia="zh-CN"/>
              </w:rPr>
            </w:pPr>
            <w:r>
              <w:rPr>
                <w:rFonts w:hint="eastAsia"/>
                <w:color w:val="auto"/>
                <w:lang w:val="en-US" w:eastAsia="zh-CN"/>
              </w:rPr>
              <w:t xml:space="preserve">过载能力：105%过载报警 </w:t>
            </w:r>
            <w:r>
              <w:rPr>
                <w:rFonts w:hint="default"/>
                <w:color w:val="auto"/>
                <w:lang w:val="en-US" w:eastAsia="zh-CN"/>
              </w:rPr>
              <w:t>，</w:t>
            </w:r>
            <w:r>
              <w:rPr>
                <w:rFonts w:hint="eastAsia"/>
                <w:color w:val="auto"/>
                <w:lang w:val="en-US" w:eastAsia="zh-CN"/>
              </w:rPr>
              <w:t>120%</w:t>
            </w:r>
            <w:r>
              <w:rPr>
                <w:rFonts w:hint="default"/>
                <w:color w:val="auto"/>
                <w:lang w:val="en-US" w:eastAsia="zh-CN"/>
              </w:rPr>
              <w:t>正常工作。</w:t>
            </w:r>
          </w:p>
          <w:p>
            <w:pPr>
              <w:numPr>
                <w:ilvl w:val="0"/>
                <w:numId w:val="1"/>
              </w:numPr>
              <w:bidi w:val="0"/>
              <w:rPr>
                <w:rFonts w:hint="eastAsia"/>
                <w:color w:val="auto"/>
                <w:lang w:val="en-US" w:eastAsia="zh-CN"/>
              </w:rPr>
            </w:pPr>
            <w:r>
              <w:rPr>
                <w:rFonts w:hint="eastAsia"/>
                <w:color w:val="auto"/>
                <w:lang w:val="en-US" w:eastAsia="zh-CN"/>
              </w:rPr>
              <w:t>应急供电时间：</w:t>
            </w:r>
            <w:r>
              <w:rPr>
                <w:rFonts w:hint="default"/>
                <w:color w:val="auto"/>
                <w:lang w:val="en-US" w:eastAsia="zh-CN"/>
              </w:rPr>
              <w:t>≥</w:t>
            </w:r>
            <w:r>
              <w:rPr>
                <w:rFonts w:hint="eastAsia"/>
                <w:color w:val="auto"/>
                <w:lang w:val="en-US" w:eastAsia="zh-CN"/>
              </w:rPr>
              <w:t>90分钟。（列明计算公式）</w:t>
            </w:r>
          </w:p>
          <w:p>
            <w:pPr>
              <w:numPr>
                <w:ilvl w:val="0"/>
                <w:numId w:val="1"/>
              </w:numPr>
              <w:bidi w:val="0"/>
              <w:rPr>
                <w:rFonts w:hint="default"/>
                <w:color w:val="auto"/>
                <w:lang w:val="en-US" w:eastAsia="zh-CN"/>
              </w:rPr>
            </w:pPr>
            <w:r>
              <w:rPr>
                <w:rFonts w:hint="eastAsia"/>
                <w:color w:val="auto"/>
                <w:lang w:val="en-US" w:eastAsia="zh-CN"/>
              </w:rPr>
              <w:t>保护功能：过温保护、逆变过欠压保护、电池欠压保护、过载保护、输出短路保护、充电保护。</w:t>
            </w:r>
          </w:p>
          <w:p>
            <w:pPr>
              <w:numPr>
                <w:ilvl w:val="0"/>
                <w:numId w:val="1"/>
              </w:numPr>
              <w:bidi w:val="0"/>
              <w:rPr>
                <w:rFonts w:hint="eastAsia"/>
                <w:color w:val="auto"/>
                <w:lang w:val="en-US" w:eastAsia="zh-CN"/>
              </w:rPr>
            </w:pPr>
            <w:r>
              <w:rPr>
                <w:rFonts w:hint="eastAsia"/>
                <w:color w:val="auto"/>
                <w:lang w:val="en-US" w:eastAsia="zh-CN"/>
              </w:rPr>
              <w:t>状态显示：LCD汉字信息显示+LED运行状态指示</w:t>
            </w:r>
            <w:r>
              <w:rPr>
                <w:rFonts w:hint="default"/>
                <w:color w:val="auto"/>
                <w:lang w:val="en-US" w:eastAsia="zh-CN"/>
              </w:rPr>
              <w:t>，故障声光报警</w:t>
            </w:r>
            <w:r>
              <w:rPr>
                <w:rFonts w:hint="eastAsia"/>
                <w:color w:val="auto"/>
                <w:lang w:val="en-US" w:eastAsia="zh-CN"/>
              </w:rPr>
              <w:t>。</w:t>
            </w:r>
          </w:p>
          <w:p>
            <w:pPr>
              <w:numPr>
                <w:ilvl w:val="0"/>
                <w:numId w:val="1"/>
              </w:numPr>
              <w:bidi w:val="0"/>
              <w:rPr>
                <w:rFonts w:hint="eastAsia"/>
                <w:color w:val="auto"/>
                <w:lang w:val="en-US" w:eastAsia="zh-CN"/>
              </w:rPr>
            </w:pPr>
            <w:r>
              <w:rPr>
                <w:rFonts w:hint="eastAsia"/>
                <w:color w:val="auto"/>
                <w:lang w:val="en-US" w:eastAsia="zh-CN"/>
              </w:rPr>
              <w:t>控制功能：手/自动功能、强制运行功能。</w:t>
            </w:r>
          </w:p>
          <w:p>
            <w:pPr>
              <w:numPr>
                <w:ilvl w:val="0"/>
                <w:numId w:val="1"/>
              </w:numPr>
              <w:bidi w:val="0"/>
              <w:rPr>
                <w:rFonts w:hint="eastAsia"/>
                <w:color w:val="auto"/>
                <w:lang w:val="en-US" w:eastAsia="zh-CN"/>
              </w:rPr>
            </w:pPr>
            <w:r>
              <w:rPr>
                <w:rFonts w:hint="eastAsia"/>
                <w:color w:val="auto"/>
                <w:lang w:val="en-US" w:eastAsia="zh-CN"/>
              </w:rPr>
              <w:t>适应负载：</w:t>
            </w:r>
            <w:r>
              <w:rPr>
                <w:rFonts w:hint="default"/>
                <w:color w:val="auto"/>
                <w:lang w:val="en-US" w:eastAsia="zh-CN"/>
              </w:rPr>
              <w:t>单电源型，</w:t>
            </w:r>
            <w:r>
              <w:rPr>
                <w:rFonts w:hint="eastAsia"/>
                <w:color w:val="auto"/>
                <w:lang w:val="en-US" w:eastAsia="zh-CN"/>
              </w:rPr>
              <w:t>应急照明型灯具类负载及混合型负载。</w:t>
            </w:r>
          </w:p>
          <w:p>
            <w:pPr>
              <w:numPr>
                <w:ilvl w:val="0"/>
                <w:numId w:val="1"/>
              </w:numPr>
              <w:bidi w:val="0"/>
              <w:rPr>
                <w:rFonts w:hint="default"/>
                <w:color w:val="auto"/>
                <w:lang w:val="en-US" w:eastAsia="zh-CN"/>
              </w:rPr>
            </w:pPr>
            <w:r>
              <w:rPr>
                <w:rFonts w:hint="eastAsia"/>
                <w:color w:val="auto"/>
                <w:lang w:val="en-US" w:eastAsia="zh-CN"/>
              </w:rPr>
              <w:t>其它：噪音正常状态：</w:t>
            </w:r>
            <w:r>
              <w:rPr>
                <w:rFonts w:hint="default"/>
                <w:color w:val="auto"/>
                <w:lang w:val="en-US" w:eastAsia="zh-CN"/>
              </w:rPr>
              <w:t>无噪音</w:t>
            </w:r>
            <w:r>
              <w:rPr>
                <w:rFonts w:hint="eastAsia"/>
                <w:color w:val="auto"/>
                <w:lang w:val="en-US" w:eastAsia="zh-CN"/>
              </w:rPr>
              <w:t>，应急状态：≤</w:t>
            </w:r>
            <w:r>
              <w:rPr>
                <w:rFonts w:hint="default"/>
                <w:color w:val="auto"/>
                <w:lang w:val="en-US" w:eastAsia="zh-CN"/>
              </w:rPr>
              <w:t>5</w:t>
            </w:r>
            <w:r>
              <w:rPr>
                <w:rFonts w:hint="eastAsia"/>
                <w:color w:val="auto"/>
                <w:lang w:val="en-US" w:eastAsia="zh-CN"/>
              </w:rPr>
              <w:t>5dB；环境温度-10℃～</w:t>
            </w:r>
            <w:r>
              <w:rPr>
                <w:rFonts w:hint="default"/>
                <w:color w:val="auto"/>
                <w:lang w:val="en-US" w:eastAsia="zh-CN"/>
              </w:rPr>
              <w:t>5</w:t>
            </w:r>
            <w:r>
              <w:rPr>
                <w:rFonts w:hint="eastAsia"/>
                <w:color w:val="auto"/>
                <w:lang w:val="en-US" w:eastAsia="zh-CN"/>
              </w:rPr>
              <w:t>0℃；相对湿度20%-90%。</w:t>
            </w:r>
          </w:p>
          <w:p>
            <w:pPr>
              <w:numPr>
                <w:ilvl w:val="0"/>
                <w:numId w:val="1"/>
              </w:numPr>
              <w:bidi w:val="0"/>
              <w:rPr>
                <w:rFonts w:hint="eastAsia"/>
                <w:color w:val="auto"/>
                <w:lang w:val="en-US" w:eastAsia="zh-CN"/>
              </w:rPr>
            </w:pPr>
            <w:bookmarkStart w:id="0" w:name="_Toc425498334"/>
            <w:bookmarkStart w:id="1" w:name="_Toc425403616"/>
            <w:r>
              <w:rPr>
                <w:rFonts w:hint="eastAsia"/>
                <w:color w:val="auto"/>
                <w:lang w:val="en-US" w:eastAsia="zh-CN"/>
              </w:rPr>
              <w:t>每台设备应具有铭牌，铭牌须标明，设备名称，设备型号，主要技术参数，制造厂名，产品编号，生产日期，所有设备应为造于2023年或之后制造的且100%全新。</w:t>
            </w:r>
            <w:bookmarkEnd w:id="0"/>
            <w:bookmarkEnd w:id="1"/>
          </w:p>
          <w:p>
            <w:pPr>
              <w:numPr>
                <w:ilvl w:val="0"/>
                <w:numId w:val="1"/>
              </w:numPr>
              <w:bidi w:val="0"/>
              <w:rPr>
                <w:rFonts w:hint="eastAsia"/>
                <w:color w:val="auto"/>
                <w:lang w:val="en-US" w:eastAsia="zh-CN"/>
              </w:rPr>
            </w:pPr>
            <w:r>
              <w:rPr>
                <w:rFonts w:hint="default"/>
                <w:color w:val="auto"/>
                <w:lang w:val="en-US" w:eastAsia="zh-CN"/>
              </w:rPr>
              <w:t>智能电池单元监测管理系统，实时监测、自动巡查每节电池状态，自动故障定位并报警。</w:t>
            </w:r>
          </w:p>
        </w:tc>
        <w:tc>
          <w:tcPr>
            <w:tcW w:w="111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需提供产品说明书或宣传彩页或省级及以上第三方检测报告并均需加盖投标人公章</w:t>
            </w:r>
          </w:p>
        </w:tc>
      </w:tr>
      <w:tr>
        <w:tblPrEx>
          <w:tblCellMar>
            <w:top w:w="0" w:type="dxa"/>
            <w:left w:w="108" w:type="dxa"/>
            <w:bottom w:w="0" w:type="dxa"/>
            <w:right w:w="108" w:type="dxa"/>
          </w:tblCellMar>
        </w:tblPrEx>
        <w:trPr>
          <w:trHeight w:val="542" w:hRule="atLeast"/>
        </w:trPr>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95" w:type="pct"/>
            <w:tcBorders>
              <w:top w:val="nil"/>
              <w:left w:val="nil"/>
              <w:bottom w:val="single" w:color="auto" w:sz="4" w:space="0"/>
              <w:right w:val="single" w:color="auto" w:sz="4" w:space="0"/>
            </w:tcBorders>
            <w:shd w:val="clear" w:color="auto" w:fill="auto"/>
            <w:vAlign w:val="center"/>
          </w:tcPr>
          <w:p>
            <w:pPr>
              <w:numPr>
                <w:ilvl w:val="0"/>
                <w:numId w:val="0"/>
              </w:numPr>
              <w:bidi w:val="0"/>
              <w:rPr>
                <w:rFonts w:hint="default"/>
                <w:color w:val="auto"/>
                <w:lang w:val="en-US" w:eastAsia="zh-CN"/>
              </w:rPr>
            </w:pPr>
            <w:r>
              <w:rPr>
                <w:rFonts w:hint="eastAsia"/>
                <w:color w:val="auto"/>
                <w:lang w:val="en-US" w:eastAsia="zh-CN"/>
              </w:rPr>
              <w:t>柜体</w:t>
            </w:r>
          </w:p>
        </w:tc>
        <w:tc>
          <w:tcPr>
            <w:tcW w:w="3293" w:type="pct"/>
            <w:tcBorders>
              <w:top w:val="nil"/>
              <w:left w:val="nil"/>
              <w:bottom w:val="single" w:color="auto" w:sz="4" w:space="0"/>
              <w:right w:val="single" w:color="auto" w:sz="4" w:space="0"/>
            </w:tcBorders>
            <w:shd w:val="clear" w:color="auto" w:fill="auto"/>
            <w:vAlign w:val="center"/>
          </w:tcPr>
          <w:p>
            <w:pPr>
              <w:numPr>
                <w:ilvl w:val="0"/>
                <w:numId w:val="0"/>
              </w:numPr>
              <w:bidi w:val="0"/>
              <w:rPr>
                <w:rFonts w:hint="eastAsia"/>
                <w:color w:val="auto"/>
                <w:lang w:val="en-US" w:eastAsia="zh-CN"/>
              </w:rPr>
            </w:pPr>
            <w:r>
              <w:rPr>
                <w:rFonts w:hint="eastAsia"/>
                <w:color w:val="auto"/>
                <w:lang w:val="en-US" w:eastAsia="zh-CN"/>
              </w:rPr>
              <w:t>1.柜体外壳应经除锈、氧化、除毛刺及防腐处理后的镀锌薄钢板制成，落地安装，可防止鸟虫进入，外壳防护等级为IP20或以上。</w:t>
            </w:r>
          </w:p>
          <w:p>
            <w:pPr>
              <w:numPr>
                <w:ilvl w:val="0"/>
                <w:numId w:val="0"/>
              </w:numPr>
              <w:bidi w:val="0"/>
              <w:rPr>
                <w:rFonts w:hint="default"/>
                <w:color w:val="auto"/>
                <w:lang w:val="en-US" w:eastAsia="zh-CN"/>
              </w:rPr>
            </w:pPr>
            <w:r>
              <w:rPr>
                <w:rFonts w:hint="eastAsia"/>
                <w:color w:val="auto"/>
                <w:lang w:val="en-US" w:eastAsia="zh-CN"/>
              </w:rPr>
              <w:t>2. 柜体内相互隔离、完全绝缘并标识的小室：静态开关、逆变器、整流器。</w:t>
            </w:r>
          </w:p>
        </w:tc>
        <w:tc>
          <w:tcPr>
            <w:tcW w:w="11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需提供产品说明书或宣传彩页或省级及以上第三方检测报告并均需加盖投标人公章</w:t>
            </w:r>
          </w:p>
        </w:tc>
      </w:tr>
      <w:tr>
        <w:tblPrEx>
          <w:tblCellMar>
            <w:top w:w="0" w:type="dxa"/>
            <w:left w:w="108" w:type="dxa"/>
            <w:bottom w:w="0" w:type="dxa"/>
            <w:right w:w="108" w:type="dxa"/>
          </w:tblCellMar>
        </w:tblPrEx>
        <w:trPr>
          <w:trHeight w:val="516" w:hRule="atLeast"/>
        </w:trPr>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bidi w:val="0"/>
              <w:rPr>
                <w:rFonts w:hint="default"/>
                <w:color w:val="auto"/>
                <w:lang w:val="en-US" w:eastAsia="zh-CN"/>
              </w:rPr>
            </w:pPr>
            <w:r>
              <w:rPr>
                <w:rFonts w:hint="eastAsia"/>
                <w:color w:val="auto"/>
                <w:lang w:val="en-US" w:eastAsia="zh-CN"/>
              </w:rPr>
              <w:t>蓄电池</w:t>
            </w:r>
          </w:p>
        </w:tc>
        <w:tc>
          <w:tcPr>
            <w:tcW w:w="3293"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bidi w:val="0"/>
              <w:rPr>
                <w:rFonts w:hint="default"/>
                <w:color w:val="auto"/>
                <w:lang w:eastAsia="zh-CN"/>
              </w:rPr>
            </w:pPr>
            <w:r>
              <w:rPr>
                <w:rFonts w:hint="eastAsia"/>
                <w:color w:val="auto"/>
                <w:lang w:val="en-US" w:eastAsia="zh-CN"/>
              </w:rPr>
              <w:t>1.蓄电池为符合有关标准的铅酸免维护密封电。</w:t>
            </w:r>
          </w:p>
          <w:p>
            <w:pPr>
              <w:numPr>
                <w:ilvl w:val="0"/>
                <w:numId w:val="0"/>
              </w:numPr>
              <w:bidi w:val="0"/>
              <w:rPr>
                <w:rFonts w:hint="eastAsia"/>
                <w:color w:val="auto"/>
                <w:lang w:val="en-US" w:eastAsia="zh-CN"/>
              </w:rPr>
            </w:pPr>
            <w:r>
              <w:rPr>
                <w:rFonts w:hint="eastAsia"/>
                <w:color w:val="auto"/>
                <w:lang w:val="en-US" w:eastAsia="zh-CN"/>
              </w:rPr>
              <w:t>2.蓄电池泰尔认证（TLC）、莱茵CE认证；投标方应提供蓄电池制造厂家的项目授权函；投标方应提供蓄电池制造厂家的3年产品质保函。</w:t>
            </w:r>
          </w:p>
          <w:p>
            <w:pPr>
              <w:numPr>
                <w:ilvl w:val="0"/>
                <w:numId w:val="0"/>
              </w:numPr>
              <w:bidi w:val="0"/>
              <w:rPr>
                <w:rFonts w:hint="eastAsia"/>
                <w:color w:val="auto"/>
                <w:lang w:val="en-US" w:eastAsia="zh-CN"/>
              </w:rPr>
            </w:pPr>
            <w:r>
              <w:rPr>
                <w:rFonts w:hint="eastAsia"/>
                <w:color w:val="auto"/>
                <w:lang w:val="en-US" w:eastAsia="zh-CN"/>
              </w:rPr>
              <w:t>3.蓄电池应带电解液且完全充满，并配备整套的电池间连接线；连接线应能通过故障电流并绝缘。</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宋体" w:hAnsi="宋体" w:cs="宋体" w:eastAsiaTheme="minorEastAsia"/>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2.提供相关检测证书并加盖投标人公章</w:t>
            </w:r>
          </w:p>
        </w:tc>
      </w:tr>
      <w:tr>
        <w:tblPrEx>
          <w:tblCellMar>
            <w:top w:w="0" w:type="dxa"/>
            <w:left w:w="108" w:type="dxa"/>
            <w:bottom w:w="0" w:type="dxa"/>
            <w:right w:w="108" w:type="dxa"/>
          </w:tblCellMar>
        </w:tblPrEx>
        <w:trPr>
          <w:trHeight w:val="516" w:hRule="atLeast"/>
        </w:trPr>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bidi w:val="0"/>
              <w:rPr>
                <w:rFonts w:hint="default"/>
                <w:color w:val="auto"/>
                <w:lang w:val="en-US" w:eastAsia="zh-CN"/>
              </w:rPr>
            </w:pPr>
            <w:r>
              <w:rPr>
                <w:rFonts w:hint="eastAsia"/>
                <w:color w:val="auto"/>
                <w:lang w:val="en-US" w:eastAsia="zh-CN"/>
              </w:rPr>
              <w:t>维保</w:t>
            </w:r>
          </w:p>
        </w:tc>
        <w:tc>
          <w:tcPr>
            <w:tcW w:w="3293"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bidi w:val="0"/>
              <w:rPr>
                <w:rFonts w:hint="default"/>
                <w:color w:val="auto"/>
                <w:lang w:val="en-US" w:eastAsia="zh-CN"/>
              </w:rPr>
            </w:pPr>
            <w:r>
              <w:rPr>
                <w:rFonts w:hint="default"/>
                <w:color w:val="auto"/>
                <w:lang w:eastAsia="zh-CN"/>
              </w:rPr>
              <w:t>整机</w:t>
            </w:r>
            <w:r>
              <w:rPr>
                <w:rFonts w:hint="eastAsia"/>
                <w:color w:val="auto"/>
                <w:lang w:val="en-US" w:eastAsia="zh-CN"/>
              </w:rPr>
              <w:t>三年质保期内需对产品进行维保，并做好维保记录。每月除尘一次，每半年巡检一次，每年进行一次充、放电维护。</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18"/>
                <w:szCs w:val="18"/>
                <w:highlight w:val="none"/>
              </w:rPr>
            </w:pPr>
          </w:p>
        </w:tc>
      </w:tr>
    </w:tbl>
    <w:p>
      <w:pPr>
        <w:pStyle w:val="3"/>
        <w:ind w:firstLine="482" w:firstLineChars="200"/>
        <w:rPr>
          <w:b/>
          <w:sz w:val="24"/>
        </w:rPr>
      </w:pPr>
      <w:r>
        <w:rPr>
          <w:rFonts w:hint="eastAsia"/>
          <w:b/>
          <w:sz w:val="24"/>
          <w:lang w:val="en-US" w:eastAsia="zh-CN"/>
        </w:rPr>
        <w:t>三</w:t>
      </w:r>
      <w:r>
        <w:rPr>
          <w:rFonts w:hint="eastAsia"/>
          <w:b/>
          <w:sz w:val="24"/>
        </w:rPr>
        <w:t>、交货期</w:t>
      </w:r>
    </w:p>
    <w:p>
      <w:pPr>
        <w:snapToGrid w:val="0"/>
        <w:spacing w:line="360" w:lineRule="auto"/>
        <w:ind w:firstLine="480" w:firstLineChars="200"/>
        <w:rPr>
          <w:rFonts w:hint="default" w:ascii="宋体" w:hAnsi="宋体" w:cs="宋体" w:eastAsiaTheme="minorEastAsia"/>
          <w:kern w:val="0"/>
          <w:sz w:val="24"/>
          <w:szCs w:val="24"/>
          <w:lang w:val="en-US" w:eastAsia="zh-CN"/>
        </w:rPr>
      </w:pPr>
      <w:r>
        <w:rPr>
          <w:rFonts w:hint="eastAsia" w:ascii="宋体" w:hAnsi="宋体" w:cs="宋体"/>
          <w:kern w:val="0"/>
          <w:sz w:val="24"/>
          <w:szCs w:val="24"/>
        </w:rPr>
        <w:t xml:space="preserve">应在采购合同签订后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45</w:t>
      </w:r>
      <w:r>
        <w:rPr>
          <w:rFonts w:hint="eastAsia" w:ascii="宋体" w:hAnsi="宋体" w:cs="宋体"/>
          <w:kern w:val="0"/>
          <w:sz w:val="24"/>
          <w:szCs w:val="24"/>
          <w:u w:val="single"/>
        </w:rPr>
        <w:t xml:space="preserve"> </w:t>
      </w:r>
      <w:r>
        <w:rPr>
          <w:rFonts w:hint="eastAsia" w:ascii="宋体" w:hAnsi="宋体" w:cs="宋体"/>
          <w:kern w:val="0"/>
          <w:sz w:val="24"/>
          <w:szCs w:val="24"/>
        </w:rPr>
        <w:t>个日历日</w:t>
      </w:r>
      <w:r>
        <w:rPr>
          <w:rFonts w:ascii="宋体" w:hAnsi="宋体" w:cs="宋体"/>
          <w:kern w:val="0"/>
          <w:sz w:val="24"/>
          <w:szCs w:val="24"/>
        </w:rPr>
        <w:t>内</w:t>
      </w:r>
      <w:r>
        <w:rPr>
          <w:rFonts w:hint="eastAsia" w:ascii="宋体" w:hAnsi="宋体" w:cs="宋体"/>
          <w:kern w:val="0"/>
          <w:sz w:val="24"/>
          <w:szCs w:val="24"/>
        </w:rPr>
        <w:t>交货并</w:t>
      </w:r>
      <w:r>
        <w:rPr>
          <w:rFonts w:ascii="宋体" w:hAnsi="宋体" w:cs="宋体"/>
          <w:kern w:val="0"/>
          <w:sz w:val="24"/>
          <w:szCs w:val="24"/>
        </w:rPr>
        <w:t>完成</w:t>
      </w:r>
      <w:r>
        <w:rPr>
          <w:rFonts w:hint="eastAsia" w:ascii="宋体" w:hAnsi="宋体" w:cs="宋体"/>
          <w:kern w:val="0"/>
          <w:sz w:val="24"/>
          <w:szCs w:val="24"/>
        </w:rPr>
        <w:t>安装调试</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需提交工期详细安排。</w:t>
      </w:r>
    </w:p>
    <w:p>
      <w:pPr>
        <w:pStyle w:val="3"/>
        <w:ind w:firstLine="482" w:firstLineChars="200"/>
        <w:rPr>
          <w:b/>
          <w:sz w:val="24"/>
          <w:szCs w:val="24"/>
        </w:rPr>
      </w:pPr>
      <w:r>
        <w:rPr>
          <w:rFonts w:hint="eastAsia"/>
          <w:b/>
          <w:sz w:val="24"/>
          <w:szCs w:val="24"/>
          <w:lang w:val="en-US" w:eastAsia="zh-CN"/>
        </w:rPr>
        <w:t>四</w:t>
      </w:r>
      <w:r>
        <w:rPr>
          <w:rFonts w:hint="eastAsia"/>
          <w:b/>
          <w:sz w:val="24"/>
          <w:szCs w:val="24"/>
        </w:rPr>
        <w:t>、报价要求</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本次报价须为人民币报价，包含：产品价、运输费（含装卸费）、保险费、安装费、调试费、</w:t>
      </w:r>
      <w:r>
        <w:rPr>
          <w:rFonts w:hint="eastAsia"/>
          <w:sz w:val="24"/>
          <w:szCs w:val="24"/>
        </w:rPr>
        <w:t>售后服务费</w:t>
      </w:r>
      <w:r>
        <w:rPr>
          <w:rFonts w:hint="eastAsia"/>
        </w:rPr>
        <w:t>、</w:t>
      </w:r>
      <w:r>
        <w:rPr>
          <w:rFonts w:hint="eastAsia" w:ascii="宋体" w:hAnsi="宋体" w:cs="宋体"/>
          <w:kern w:val="0"/>
          <w:sz w:val="24"/>
          <w:szCs w:val="24"/>
        </w:rPr>
        <w:t>税费、培训费等货到采购人指定地点的所有费用。</w:t>
      </w:r>
    </w:p>
    <w:p>
      <w:pPr>
        <w:pStyle w:val="2"/>
        <w:ind w:firstLine="482" w:firstLineChars="200"/>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五、验收要求</w:t>
      </w:r>
    </w:p>
    <w:p>
      <w:pPr>
        <w:pStyle w:val="2"/>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1.投标人应提供该批次产品的合格证及消防认证证书，产品参数应与招标要求一致。</w:t>
      </w:r>
    </w:p>
    <w:p>
      <w:pPr>
        <w:pStyle w:val="2"/>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2.安装前，投标人应在职能科室的监督下对EPS进行充放电测试，电池应急后备时间应均大于90分钟视。</w:t>
      </w:r>
    </w:p>
    <w:p>
      <w:pPr>
        <w:pStyle w:val="2"/>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3.安装后，经调试能正常运行无故障。</w:t>
      </w:r>
    </w:p>
    <w:p>
      <w:pPr>
        <w:pStyle w:val="3"/>
        <w:ind w:firstLine="482" w:firstLineChars="200"/>
        <w:rPr>
          <w:b/>
          <w:sz w:val="24"/>
          <w:szCs w:val="24"/>
        </w:rPr>
      </w:pPr>
      <w:bookmarkStart w:id="2" w:name="_Toc465087496"/>
      <w:r>
        <w:rPr>
          <w:rFonts w:hint="eastAsia"/>
          <w:b/>
          <w:sz w:val="24"/>
          <w:szCs w:val="24"/>
          <w:lang w:val="en-US" w:eastAsia="zh-CN"/>
        </w:rPr>
        <w:t>六</w:t>
      </w:r>
      <w:r>
        <w:rPr>
          <w:rFonts w:hint="eastAsia"/>
          <w:b/>
          <w:sz w:val="24"/>
          <w:szCs w:val="24"/>
        </w:rPr>
        <w:t>、质量保证及售后服务</w:t>
      </w:r>
      <w:bookmarkEnd w:id="2"/>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（一）产品质量保证期</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1、投标人应明确承诺：其投标产品质量保证期达到</w:t>
      </w:r>
      <w:r>
        <w:rPr>
          <w:rFonts w:hint="eastAsia" w:ascii="宋体" w:hAnsi="宋体" w:cs="宋体"/>
          <w:kern w:val="0"/>
          <w:sz w:val="24"/>
          <w:szCs w:val="24"/>
          <w:u w:val="single"/>
        </w:rPr>
        <w:t>3</w:t>
      </w:r>
      <w:r>
        <w:rPr>
          <w:rFonts w:hint="eastAsia" w:ascii="宋体" w:hAnsi="宋体" w:cs="宋体"/>
          <w:kern w:val="0"/>
          <w:sz w:val="24"/>
          <w:szCs w:val="24"/>
        </w:rPr>
        <w:t>年（所有产品）</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质保期周期应从验收合格之日起开始计算</w:t>
      </w:r>
      <w:r>
        <w:rPr>
          <w:rFonts w:hint="eastAsia" w:ascii="宋体" w:hAnsi="宋体" w:cs="宋体"/>
          <w:kern w:val="0"/>
          <w:sz w:val="24"/>
          <w:szCs w:val="24"/>
        </w:rPr>
        <w:t>。</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2、投标产品属于国家规定“三包”范围的，其产品质量保证期不得低于“三包”规定。</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3、投标人的质量保证期承诺优于国家“三包”规定的，按投标人实际承诺执行。</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4、投标产品由制造商（指产品生产制造商，或其负责销售、售后服务机构，以下同）负责标准售后服务的，应当在投标文件中予以明确说明,并附制造商售后服务承诺。</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（二）售后服务内容</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1、投标人和制造商在质量保证期内应当为采购人提供以下技术支持和服务：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（1）电话咨询</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中标人和制造商应当为采购人提供技术援助电话，解答采购人在使用中遇到的问题，及时为采购人提出解决问题的建议。</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（2）现场响应</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采购人遇到使用及技术问题，电话咨询不能解决的，中标人和制造商应在</w:t>
      </w:r>
      <w:r>
        <w:rPr>
          <w:rFonts w:hint="eastAsia" w:ascii="宋体" w:hAnsi="宋体" w:cs="宋体"/>
          <w:kern w:val="0"/>
          <w:sz w:val="24"/>
          <w:szCs w:val="24"/>
          <w:u w:val="single"/>
        </w:rPr>
        <w:t xml:space="preserve"> 2  </w:t>
      </w:r>
      <w:r>
        <w:rPr>
          <w:rFonts w:hint="eastAsia" w:ascii="宋体" w:hAnsi="宋体" w:cs="宋体"/>
          <w:kern w:val="0"/>
          <w:sz w:val="24"/>
          <w:szCs w:val="24"/>
        </w:rPr>
        <w:t>小内到达现场进行处理，确保产品正常工作；无法在</w:t>
      </w:r>
      <w:r>
        <w:rPr>
          <w:rFonts w:hint="eastAsia" w:ascii="宋体" w:hAnsi="宋体" w:cs="宋体"/>
          <w:kern w:val="0"/>
          <w:sz w:val="24"/>
          <w:szCs w:val="24"/>
          <w:u w:val="single"/>
        </w:rPr>
        <w:t xml:space="preserve"> 24 </w:t>
      </w:r>
      <w:r>
        <w:rPr>
          <w:rFonts w:hint="eastAsia" w:ascii="宋体" w:hAnsi="宋体" w:cs="宋体"/>
          <w:kern w:val="0"/>
          <w:sz w:val="24"/>
          <w:szCs w:val="24"/>
        </w:rPr>
        <w:t>小时内解决的，应在</w:t>
      </w:r>
      <w:r>
        <w:rPr>
          <w:rFonts w:hint="eastAsia" w:ascii="宋体" w:hAnsi="宋体" w:cs="宋体"/>
          <w:kern w:val="0"/>
          <w:sz w:val="24"/>
          <w:szCs w:val="24"/>
          <w:u w:val="single"/>
        </w:rPr>
        <w:t xml:space="preserve">  2   </w:t>
      </w:r>
      <w:r>
        <w:rPr>
          <w:rFonts w:hint="eastAsia" w:ascii="宋体" w:hAnsi="宋体" w:cs="宋体"/>
          <w:kern w:val="0"/>
          <w:sz w:val="24"/>
          <w:szCs w:val="24"/>
        </w:rPr>
        <w:t>小时内提供备用产品，使采购人能够正常使用。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（3）技术升级</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在质保期内，如果中标人和制造商的产品技术升级，供应商应及时通知采购人，如采购人有相应要求，中标人和制造商应对采购人购买的产品进行升级服务。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2、质保期外服务要求</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（1）质量保证期过后，供应商和制造商应同样提供免费电话咨询服务，并应承诺提供产品上门维护服务。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（2）质量保证期过后，采购人需要继续由原供应商和制造商提供售后服务的，该供应商和制造商应以优惠价格提供售后服务。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（三）备品备件及易损件</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pPr>
        <w:pStyle w:val="3"/>
        <w:ind w:firstLine="482" w:firstLineChars="200"/>
        <w:rPr>
          <w:b/>
          <w:sz w:val="24"/>
          <w:szCs w:val="24"/>
        </w:rPr>
      </w:pPr>
      <w:bookmarkStart w:id="3" w:name="_Toc267320051"/>
      <w:bookmarkStart w:id="4" w:name="_Toc465087497"/>
      <w:r>
        <w:rPr>
          <w:rFonts w:hint="eastAsia"/>
          <w:b/>
          <w:sz w:val="24"/>
          <w:szCs w:val="24"/>
          <w:lang w:val="en-US" w:eastAsia="zh-CN"/>
        </w:rPr>
        <w:t>七</w:t>
      </w:r>
      <w:r>
        <w:rPr>
          <w:rFonts w:hint="eastAsia"/>
          <w:b/>
          <w:sz w:val="24"/>
          <w:szCs w:val="24"/>
        </w:rPr>
        <w:t>、付款方式</w:t>
      </w:r>
      <w:bookmarkEnd w:id="3"/>
      <w:bookmarkEnd w:id="4"/>
    </w:p>
    <w:p>
      <w:pPr>
        <w:snapToGrid w:val="0"/>
        <w:spacing w:line="360" w:lineRule="auto"/>
        <w:ind w:firstLine="480" w:firstLineChars="200"/>
        <w:rPr>
          <w:rFonts w:hint="default" w:ascii="宋体" w:hAnsi="宋体" w:eastAsia="宋体" w:cs="宋体"/>
          <w:kern w:val="0"/>
          <w:sz w:val="24"/>
          <w:szCs w:val="24"/>
          <w:lang w:val="en-US" w:eastAsia="zh-CN"/>
        </w:rPr>
      </w:pPr>
      <w:bookmarkStart w:id="5" w:name="_Toc267320052"/>
      <w:r>
        <w:rPr>
          <w:rFonts w:hint="eastAsia" w:ascii="宋体" w:hAnsi="宋体" w:cs="宋体"/>
          <w:kern w:val="0"/>
          <w:sz w:val="24"/>
          <w:szCs w:val="24"/>
        </w:rPr>
        <w:t>无首付款，采购人</w:t>
      </w:r>
      <w:r>
        <w:rPr>
          <w:rFonts w:hint="eastAsia" w:ascii="宋体" w:hAnsi="宋体" w:cs="宋体"/>
          <w:kern w:val="0"/>
          <w:sz w:val="24"/>
          <w:szCs w:val="24"/>
          <w:lang w:eastAsia="zh-CN"/>
        </w:rPr>
        <w:t>在</w:t>
      </w:r>
      <w:r>
        <w:rPr>
          <w:rFonts w:hint="default" w:ascii="宋体" w:hAnsi="宋体" w:cs="宋体"/>
          <w:kern w:val="0"/>
          <w:sz w:val="24"/>
          <w:szCs w:val="24"/>
        </w:rPr>
        <w:t>试运行1</w:t>
      </w:r>
      <w:r>
        <w:rPr>
          <w:rFonts w:hint="eastAsia" w:ascii="宋体" w:hAnsi="宋体" w:cs="宋体"/>
          <w:kern w:val="0"/>
          <w:sz w:val="24"/>
          <w:szCs w:val="24"/>
          <w:lang w:eastAsia="zh-CN"/>
        </w:rPr>
        <w:t>个</w:t>
      </w:r>
      <w:r>
        <w:rPr>
          <w:rFonts w:hint="eastAsia" w:ascii="宋体" w:hAnsi="宋体" w:cs="宋体"/>
          <w:kern w:val="0"/>
          <w:sz w:val="24"/>
          <w:szCs w:val="24"/>
          <w:lang w:val="en-US" w:eastAsia="zh-CN"/>
        </w:rPr>
        <w:t>月后进行验收，验收合格后通知报价人开具发票，在收到发票后支付合同款项的95%，余下5%款项在中标人完成合同期限内所有维保后支付</w:t>
      </w:r>
      <w:r>
        <w:rPr>
          <w:rFonts w:hint="eastAsia" w:ascii="宋体" w:hAnsi="宋体" w:cs="宋体"/>
          <w:kern w:val="0"/>
          <w:sz w:val="24"/>
          <w:szCs w:val="24"/>
        </w:rPr>
        <w:t>。</w:t>
      </w:r>
      <w:bookmarkEnd w:id="5"/>
      <w:r>
        <w:rPr>
          <w:rFonts w:hint="eastAsia" w:ascii="宋体" w:hAnsi="宋体" w:cs="宋体"/>
          <w:kern w:val="0"/>
          <w:sz w:val="24"/>
          <w:szCs w:val="24"/>
          <w:lang w:val="en-US" w:eastAsia="zh-CN"/>
        </w:rPr>
        <w:t>如无法通过验收，中标人应在5个工作日内进行整改，整改后依然无法通过验收，采购人有权解除合同并不承担任何费用。</w:t>
      </w:r>
    </w:p>
    <w:p>
      <w:pPr>
        <w:pStyle w:val="6"/>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F15B0"/>
    <w:multiLevelType w:val="singleLevel"/>
    <w:tmpl w:val="119F15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D7F63FD"/>
    <w:rsid w:val="0E6F8A1C"/>
    <w:rsid w:val="105765E1"/>
    <w:rsid w:val="11C0161D"/>
    <w:rsid w:val="194F58BE"/>
    <w:rsid w:val="1B300109"/>
    <w:rsid w:val="1BEE96B1"/>
    <w:rsid w:val="1D9EC07E"/>
    <w:rsid w:val="26C002C6"/>
    <w:rsid w:val="2CCD64E8"/>
    <w:rsid w:val="2E066BA3"/>
    <w:rsid w:val="2F4F09B8"/>
    <w:rsid w:val="3CFB1A50"/>
    <w:rsid w:val="462F230B"/>
    <w:rsid w:val="54EA0C30"/>
    <w:rsid w:val="5A2B4D03"/>
    <w:rsid w:val="5B1C6621"/>
    <w:rsid w:val="5C7F0CFE"/>
    <w:rsid w:val="5F684AA7"/>
    <w:rsid w:val="5FB37B80"/>
    <w:rsid w:val="61860C1F"/>
    <w:rsid w:val="64C50CB4"/>
    <w:rsid w:val="65EE5B34"/>
    <w:rsid w:val="68E931E5"/>
    <w:rsid w:val="6CFD8A6E"/>
    <w:rsid w:val="710C1EC5"/>
    <w:rsid w:val="74A565C1"/>
    <w:rsid w:val="75F43A39"/>
    <w:rsid w:val="77F734C0"/>
    <w:rsid w:val="7B761A97"/>
    <w:rsid w:val="7B762C67"/>
    <w:rsid w:val="7CC971B4"/>
    <w:rsid w:val="7FCFB4EA"/>
    <w:rsid w:val="AFF56D0C"/>
    <w:rsid w:val="BCFF762A"/>
    <w:rsid w:val="D7A2C432"/>
    <w:rsid w:val="EFED4381"/>
    <w:rsid w:val="F63568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76" w:lineRule="auto"/>
    </w:pPr>
    <w:rPr>
      <w:rFonts w:ascii="宋体_..." w:hAnsi="Times New Roman" w:eastAsia="宋体_..." w:cs="宋体_..."/>
      <w:color w:val="000000"/>
      <w:sz w:val="24"/>
      <w:szCs w:val="24"/>
      <w:lang w:val="en-US" w:eastAsia="en-US" w:bidi="en-US"/>
    </w:r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annotation text"/>
    <w:basedOn w:val="1"/>
    <w:semiHidden/>
    <w:unhideWhenUsed/>
    <w:qFormat/>
    <w:uiPriority w:val="99"/>
    <w:pPr>
      <w:jc w:val="left"/>
    </w:pPr>
  </w:style>
  <w:style w:type="paragraph" w:styleId="6">
    <w:name w:val="Body Text"/>
    <w:basedOn w:val="1"/>
    <w:next w:val="7"/>
    <w:link w:val="25"/>
    <w:unhideWhenUsed/>
    <w:qFormat/>
    <w:uiPriority w:val="99"/>
    <w:pPr>
      <w:snapToGrid w:val="0"/>
      <w:spacing w:line="440" w:lineRule="exact"/>
    </w:pPr>
    <w:rPr>
      <w:rFonts w:ascii="Times New Roman" w:hAnsi="Times New Roman" w:eastAsia="宋体" w:cs="Times New Roman"/>
      <w:kern w:val="0"/>
      <w:sz w:val="20"/>
      <w:szCs w:val="20"/>
    </w:rPr>
  </w:style>
  <w:style w:type="paragraph" w:customStyle="1" w:styleId="7">
    <w:name w:val="引用1"/>
    <w:basedOn w:val="1"/>
    <w:next w:val="1"/>
    <w:qFormat/>
    <w:uiPriority w:val="99"/>
    <w:rPr>
      <w:rFonts w:ascii="Calibri" w:hAnsi="Calibri"/>
      <w:i/>
      <w:iCs/>
      <w:color w:val="000000"/>
      <w:kern w:val="0"/>
      <w:sz w:val="22"/>
      <w:szCs w:val="20"/>
    </w:rPr>
  </w:style>
  <w:style w:type="paragraph" w:styleId="8">
    <w:name w:val="Body Text Indent"/>
    <w:basedOn w:val="1"/>
    <w:link w:val="21"/>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9">
    <w:name w:val="Plain Text"/>
    <w:basedOn w:val="1"/>
    <w:link w:val="24"/>
    <w:qFormat/>
    <w:uiPriority w:val="0"/>
    <w:rPr>
      <w:rFonts w:ascii="宋体" w:hAnsi="Courier New" w:eastAsia="宋体" w:cs="Times New Roman"/>
      <w:szCs w:val="20"/>
    </w:rPr>
  </w:style>
  <w:style w:type="paragraph" w:styleId="10">
    <w:name w:val="footer"/>
    <w:basedOn w:val="1"/>
    <w:link w:val="19"/>
    <w:semiHidden/>
    <w:unhideWhenUsed/>
    <w:qFormat/>
    <w:uiPriority w:val="99"/>
    <w:pPr>
      <w:tabs>
        <w:tab w:val="center" w:pos="4153"/>
        <w:tab w:val="right" w:pos="8306"/>
      </w:tabs>
      <w:snapToGrid w:val="0"/>
      <w:jc w:val="left"/>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table" w:styleId="14">
    <w:name w:val="Table Grid"/>
    <w:basedOn w:val="13"/>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qFormat/>
    <w:uiPriority w:val="99"/>
    <w:rPr>
      <w:color w:val="0000FF"/>
      <w:u w:val="single"/>
    </w:rPr>
  </w:style>
  <w:style w:type="character" w:customStyle="1" w:styleId="18">
    <w:name w:val="页眉 Char"/>
    <w:basedOn w:val="15"/>
    <w:link w:val="11"/>
    <w:semiHidden/>
    <w:qFormat/>
    <w:uiPriority w:val="99"/>
    <w:rPr>
      <w:sz w:val="18"/>
      <w:szCs w:val="18"/>
    </w:rPr>
  </w:style>
  <w:style w:type="character" w:customStyle="1" w:styleId="19">
    <w:name w:val="页脚 Char"/>
    <w:basedOn w:val="15"/>
    <w:link w:val="10"/>
    <w:semiHidden/>
    <w:qFormat/>
    <w:uiPriority w:val="99"/>
    <w:rPr>
      <w:sz w:val="18"/>
      <w:szCs w:val="18"/>
    </w:rPr>
  </w:style>
  <w:style w:type="character" w:customStyle="1" w:styleId="20">
    <w:name w:val="正文文本缩进 Char"/>
    <w:basedOn w:val="15"/>
    <w:link w:val="8"/>
    <w:qFormat/>
    <w:uiPriority w:val="0"/>
    <w:rPr>
      <w:rFonts w:ascii="宋体" w:hAnsi="宋体" w:eastAsia="宋体" w:cs="Times New Roman"/>
      <w:sz w:val="28"/>
      <w:szCs w:val="24"/>
    </w:rPr>
  </w:style>
  <w:style w:type="character" w:customStyle="1" w:styleId="21">
    <w:name w:val="正文文本缩进 Char1"/>
    <w:basedOn w:val="15"/>
    <w:link w:val="8"/>
    <w:semiHidden/>
    <w:qFormat/>
    <w:uiPriority w:val="99"/>
  </w:style>
  <w:style w:type="character" w:customStyle="1" w:styleId="22">
    <w:name w:val="font11"/>
    <w:basedOn w:val="15"/>
    <w:qFormat/>
    <w:uiPriority w:val="0"/>
    <w:rPr>
      <w:rFonts w:hint="eastAsia" w:ascii="宋体" w:hAnsi="宋体" w:eastAsia="宋体" w:cs="宋体"/>
      <w:color w:val="000000"/>
      <w:sz w:val="24"/>
      <w:szCs w:val="24"/>
      <w:u w:val="none"/>
    </w:rPr>
  </w:style>
  <w:style w:type="character" w:customStyle="1" w:styleId="23">
    <w:name w:val="font21"/>
    <w:basedOn w:val="15"/>
    <w:qFormat/>
    <w:uiPriority w:val="0"/>
    <w:rPr>
      <w:rFonts w:hint="eastAsia" w:ascii="宋体" w:hAnsi="宋体" w:eastAsia="宋体" w:cs="宋体"/>
      <w:b/>
      <w:bCs/>
      <w:color w:val="000000"/>
      <w:sz w:val="24"/>
      <w:szCs w:val="24"/>
      <w:u w:val="none"/>
    </w:rPr>
  </w:style>
  <w:style w:type="character" w:customStyle="1" w:styleId="24">
    <w:name w:val="纯文本 Char"/>
    <w:basedOn w:val="15"/>
    <w:link w:val="9"/>
    <w:qFormat/>
    <w:uiPriority w:val="0"/>
    <w:rPr>
      <w:rFonts w:ascii="宋体" w:hAnsi="Courier New" w:eastAsia="宋体" w:cs="Times New Roman"/>
      <w:szCs w:val="20"/>
    </w:rPr>
  </w:style>
  <w:style w:type="character" w:customStyle="1" w:styleId="25">
    <w:name w:val="正文文本 Char"/>
    <w:basedOn w:val="15"/>
    <w:link w:val="6"/>
    <w:qFormat/>
    <w:uiPriority w:val="99"/>
    <w:rPr>
      <w:rFonts w:ascii="Times New Roman" w:hAnsi="Times New Roman" w:eastAsia="宋体" w:cs="Times New Roman"/>
      <w:kern w:val="0"/>
      <w:sz w:val="20"/>
      <w:szCs w:val="20"/>
    </w:rPr>
  </w:style>
  <w:style w:type="character" w:customStyle="1" w:styleId="26">
    <w:name w:val="font41"/>
    <w:basedOn w:val="15"/>
    <w:qFormat/>
    <w:uiPriority w:val="0"/>
    <w:rPr>
      <w:rFonts w:hint="default" w:ascii="Times New Roman" w:hAnsi="Times New Roman" w:cs="Times New Roman"/>
      <w:color w:val="000000"/>
      <w:sz w:val="20"/>
      <w:szCs w:val="20"/>
      <w:u w:val="none"/>
    </w:rPr>
  </w:style>
  <w:style w:type="character" w:customStyle="1" w:styleId="27">
    <w:name w:val="font31"/>
    <w:basedOn w:val="15"/>
    <w:qFormat/>
    <w:uiPriority w:val="0"/>
    <w:rPr>
      <w:rFonts w:hint="eastAsia" w:ascii="宋体" w:hAnsi="宋体" w:eastAsia="宋体" w:cs="宋体"/>
      <w:color w:val="000000"/>
      <w:sz w:val="20"/>
      <w:szCs w:val="20"/>
      <w:u w:val="none"/>
    </w:rPr>
  </w:style>
  <w:style w:type="paragraph" w:styleId="28">
    <w:name w:val="List Paragraph"/>
    <w:basedOn w:val="1"/>
    <w:qFormat/>
    <w:uiPriority w:val="34"/>
    <w:pPr>
      <w:ind w:firstLine="420" w:firstLineChars="200"/>
    </w:pPr>
    <w:rPr>
      <w:rFonts w:ascii="仿宋" w:hAnsi="仿宋" w:eastAsia="仿宋" w:cs="Times New Roman"/>
      <w:szCs w:val="24"/>
    </w:rPr>
  </w:style>
  <w:style w:type="character" w:customStyle="1" w:styleId="29">
    <w:name w:val="fontstyle01"/>
    <w:basedOn w:val="15"/>
    <w:qFormat/>
    <w:uiPriority w:val="0"/>
    <w:rPr>
      <w:rFonts w:hint="eastAsia" w:ascii="宋体" w:hAnsi="宋体" w:eastAsia="宋体"/>
      <w:color w:val="000000"/>
      <w:sz w:val="18"/>
      <w:szCs w:val="18"/>
    </w:rPr>
  </w:style>
  <w:style w:type="character" w:customStyle="1" w:styleId="30">
    <w:name w:val="font71"/>
    <w:basedOn w:val="15"/>
    <w:qFormat/>
    <w:uiPriority w:val="0"/>
    <w:rPr>
      <w:rFonts w:hint="default" w:ascii="Times New Roman" w:hAnsi="Times New Roman" w:cs="Times New Roman"/>
      <w:color w:val="000000"/>
      <w:sz w:val="16"/>
      <w:szCs w:val="16"/>
      <w:u w:val="none"/>
    </w:rPr>
  </w:style>
  <w:style w:type="character" w:customStyle="1" w:styleId="31">
    <w:name w:val="font61"/>
    <w:basedOn w:val="1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MS</Company>
  <Pages>4</Pages>
  <Words>2388</Words>
  <Characters>2525</Characters>
  <Lines>7</Lines>
  <Paragraphs>2</Paragraphs>
  <TotalTime>3</TotalTime>
  <ScaleCrop>false</ScaleCrop>
  <LinksUpToDate>false</LinksUpToDate>
  <CharactersWithSpaces>2596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2022-04-21T09:48:00Z</dcterms:created>
  <dc:creator>USER-</dc:creator>
  <cp:lastModifiedBy>小陈Clam</cp:lastModifiedBy>
  <dcterms:modified xsi:type="dcterms:W3CDTF">2023-05-31T07:39:10Z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A3609AFDBB90403D82F33A90CD7D05CA</vt:lpwstr>
  </property>
</Properties>
</file>