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Toc19113857"/>
      <w:bookmarkStart w:id="1" w:name="_Toc75252313"/>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式发布招标公告的技术要求为准。</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三、需求公告时间202</w:t>
      </w:r>
      <w:r>
        <w:rPr>
          <w:rFonts w:hint="eastAsia" w:cs="Tahoma" w:asciiTheme="minorEastAsia" w:hAnsiTheme="minorEastAsia"/>
          <w:b/>
          <w:color w:val="333333"/>
          <w:sz w:val="28"/>
          <w:szCs w:val="28"/>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6</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5</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11</w:t>
      </w:r>
      <w:r>
        <w:rPr>
          <w:rFonts w:hint="eastAsia" w:cs="Tahoma" w:asciiTheme="minorEastAsia" w:hAnsiTheme="minorEastAsia"/>
          <w:b/>
          <w:color w:val="333333"/>
          <w:sz w:val="28"/>
          <w:szCs w:val="28"/>
          <w:highlight w:val="none"/>
          <w:shd w:val="clear" w:color="auto" w:fill="FFFFFF"/>
        </w:rPr>
        <w:t>日17:30止</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u w:val="single"/>
          <w:shd w:val="clear" w:color="auto" w:fill="FFFFFF"/>
          <w:lang w:val="en-US" w:eastAsia="zh-CN"/>
        </w:rPr>
        <w:t xml:space="preserve">   </w:t>
      </w:r>
      <w:r>
        <w:rPr>
          <w:rFonts w:hint="eastAsia" w:cs="Tahoma" w:asciiTheme="minorEastAsia" w:hAnsiTheme="minorEastAsia"/>
          <w:b/>
          <w:color w:val="333333"/>
          <w:sz w:val="28"/>
          <w:szCs w:val="28"/>
          <w:highlight w:val="none"/>
          <w:shd w:val="clear" w:color="auto" w:fill="FFFFFF"/>
        </w:rPr>
        <w:t>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eastAsia="zh-CN"/>
        </w:rPr>
        <w:t>严</w:t>
      </w:r>
      <w:r>
        <w:rPr>
          <w:rFonts w:hint="eastAsia" w:cs="Tahoma" w:asciiTheme="minorEastAsia" w:hAnsiTheme="minorEastAsia"/>
          <w:b/>
          <w:color w:val="333333"/>
          <w:sz w:val="28"/>
          <w:szCs w:val="28"/>
          <w:highlight w:val="none"/>
          <w:shd w:val="clear" w:color="auto" w:fill="FFFFFF"/>
        </w:rPr>
        <w:t>老师023-</w:t>
      </w:r>
      <w:r>
        <w:rPr>
          <w:rFonts w:hint="eastAsia" w:cs="Tahoma" w:asciiTheme="minorEastAsia" w:hAnsiTheme="minorEastAsia"/>
          <w:b/>
          <w:color w:val="333333"/>
          <w:sz w:val="28"/>
          <w:szCs w:val="28"/>
          <w:highlight w:val="none"/>
          <w:shd w:val="clear" w:color="auto" w:fill="FFFFFF"/>
          <w:lang w:val="en-US" w:eastAsia="zh-CN"/>
        </w:rPr>
        <w:t>88860176</w:t>
      </w:r>
      <w:r>
        <w:rPr>
          <w:rFonts w:hint="eastAsia" w:cs="Tahoma" w:asciiTheme="minorEastAsia" w:hAnsiTheme="minorEastAsia"/>
          <w:b/>
          <w:color w:val="333333"/>
          <w:sz w:val="28"/>
          <w:szCs w:val="28"/>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w:t>
      </w:r>
      <w:bookmarkStart w:id="126" w:name="_GoBack"/>
      <w:r>
        <w:rPr>
          <w:rFonts w:hint="eastAsia" w:ascii="Calibri" w:hAnsi="Calibri" w:eastAsia="宋体" w:cs="Times New Roman"/>
          <w:b/>
          <w:color w:val="000000"/>
          <w:sz w:val="28"/>
          <w:szCs w:val="28"/>
          <w:u w:val="single"/>
          <w:lang w:val="en-US" w:eastAsia="zh-CN"/>
        </w:rPr>
        <w:t>手机版BI</w:t>
      </w:r>
      <w:bookmarkEnd w:id="126"/>
      <w:r>
        <w:rPr>
          <w:rFonts w:hint="eastAsia" w:ascii="Calibri" w:hAnsi="Calibri" w:eastAsia="宋体" w:cs="Times New Roman"/>
          <w:b/>
          <w:color w:val="000000"/>
          <w:sz w:val="28"/>
          <w:szCs w:val="28"/>
        </w:rPr>
        <w:t>采购项目</w:t>
      </w:r>
    </w:p>
    <w:tbl>
      <w:tblPr>
        <w:tblStyle w:val="11"/>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8"/>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报价品牌：         型号：           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5" w:type="dxa"/>
            <w:gridSpan w:val="2"/>
            <w:vAlign w:val="center"/>
          </w:tcPr>
          <w:p>
            <w:pPr>
              <w:tabs>
                <w:tab w:val="left" w:pos="6300"/>
              </w:tabs>
              <w:snapToGrid w:val="0"/>
              <w:jc w:val="left"/>
              <w:rPr>
                <w:rFonts w:ascii="宋体" w:hAnsi="宋体" w:eastAsia="宋体" w:cs="宋体"/>
                <w:sz w:val="24"/>
                <w:szCs w:val="24"/>
              </w:rPr>
            </w:pPr>
            <w:r>
              <w:rPr>
                <w:rFonts w:hint="eastAsia" w:ascii="宋体" w:hAnsi="宋体" w:eastAsia="宋体" w:cs="宋体"/>
                <w:sz w:val="24"/>
                <w:szCs w:val="24"/>
              </w:rPr>
              <w:t>报价：         元（总价），质保期        年，</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558" w:type="dxa"/>
            <w:vAlign w:val="center"/>
          </w:tcPr>
          <w:p>
            <w:pPr>
              <w:tabs>
                <w:tab w:val="left" w:pos="6300"/>
              </w:tabs>
              <w:snapToGrid w:val="0"/>
              <w:jc w:val="center"/>
              <w:rPr>
                <w:rFonts w:hint="eastAsia" w:ascii="宋体" w:hAnsi="宋体" w:eastAsia="宋体" w:cs="宋体"/>
                <w:sz w:val="24"/>
                <w:szCs w:val="24"/>
                <w:lang w:eastAsia="zh-CN"/>
              </w:rPr>
            </w:pPr>
            <w:r>
              <w:rPr>
                <w:rFonts w:hint="eastAsia" w:hAnsi="宋体" w:cs="宋体"/>
                <w:sz w:val="24"/>
                <w:szCs w:val="24"/>
                <w:lang w:eastAsia="zh-CN"/>
              </w:rPr>
              <w:t>采购需求</w:t>
            </w:r>
          </w:p>
        </w:tc>
        <w:tc>
          <w:tcPr>
            <w:tcW w:w="2327" w:type="dxa"/>
            <w:vAlign w:val="center"/>
          </w:tcPr>
          <w:p>
            <w:pPr>
              <w:tabs>
                <w:tab w:val="left" w:pos="6300"/>
              </w:tabs>
              <w:snapToGrid w:val="0"/>
              <w:jc w:val="center"/>
              <w:rPr>
                <w:rFonts w:hint="eastAsia" w:hAnsi="宋体" w:cs="宋体"/>
                <w:sz w:val="24"/>
                <w:szCs w:val="24"/>
                <w:lang w:eastAsia="zh-CN"/>
              </w:rPr>
            </w:pPr>
            <w:r>
              <w:rPr>
                <w:rFonts w:hint="eastAsia" w:hAnsi="宋体" w:cs="宋体"/>
                <w:sz w:val="24"/>
                <w:szCs w:val="24"/>
                <w:lang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7558" w:type="dxa"/>
            <w:vAlign w:val="center"/>
          </w:tcPr>
          <w:p>
            <w:pPr>
              <w:tabs>
                <w:tab w:val="left" w:pos="6300"/>
              </w:tabs>
              <w:snapToGrid w:val="0"/>
              <w:jc w:val="left"/>
              <w:rPr>
                <w:rFonts w:hint="eastAsia" w:hAnsi="宋体" w:cs="宋体"/>
                <w:sz w:val="24"/>
                <w:szCs w:val="24"/>
                <w:lang w:eastAsia="zh-CN"/>
              </w:rPr>
            </w:pPr>
            <w:r>
              <w:rPr>
                <w:rFonts w:hint="eastAsia" w:hAnsi="宋体" w:cs="宋体"/>
                <w:sz w:val="24"/>
                <w:szCs w:val="24"/>
                <w:lang w:eastAsia="zh-CN"/>
              </w:rPr>
              <w:t>附后</w:t>
            </w:r>
          </w:p>
        </w:tc>
        <w:tc>
          <w:tcPr>
            <w:tcW w:w="2327" w:type="dxa"/>
            <w:vAlign w:val="center"/>
          </w:tcPr>
          <w:p>
            <w:pPr>
              <w:tabs>
                <w:tab w:val="left" w:pos="6300"/>
              </w:tabs>
              <w:snapToGrid w:val="0"/>
              <w:jc w:val="left"/>
              <w:rPr>
                <w:rFonts w:hint="eastAsia" w:hAnsi="宋体" w:cs="宋体"/>
                <w:sz w:val="24"/>
                <w:szCs w:val="24"/>
                <w:lang w:eastAsia="zh-CN"/>
              </w:rPr>
            </w:pPr>
          </w:p>
        </w:tc>
      </w:tr>
    </w:tbl>
    <w:p>
      <w:pPr>
        <w:jc w:val="left"/>
        <w:rPr>
          <w:b/>
          <w:color w:val="FF0000"/>
          <w:sz w:val="28"/>
          <w:szCs w:val="28"/>
        </w:rPr>
      </w:pPr>
    </w:p>
    <w:p>
      <w:pPr>
        <w:rPr>
          <w:rFonts w:hint="eastAsia" w:ascii="宋体" w:hAnsi="宋体" w:eastAsia="宋体" w:cs="宋体"/>
        </w:rPr>
      </w:pPr>
      <w:r>
        <w:rPr>
          <w:rFonts w:hint="eastAsia"/>
          <w:b/>
          <w:color w:val="FF0000"/>
          <w:sz w:val="28"/>
          <w:szCs w:val="28"/>
        </w:rPr>
        <w:t>备注：供应商还需提供投标产品成交记录:合同扫描件/中标通知书扫描件/公示结果网络链接及截图均可,能从中看出投标产品型号配置等信息。</w:t>
      </w:r>
    </w:p>
    <w:bookmarkEnd w:id="0"/>
    <w:bookmarkEnd w:id="1"/>
    <w:p>
      <w:pPr>
        <w:rPr>
          <w:rFonts w:hAnsi="宋体" w:cs="方正仿宋_GBK"/>
          <w:sz w:val="24"/>
          <w:szCs w:val="24"/>
        </w:rPr>
      </w:pPr>
      <w:r>
        <w:rPr>
          <w:rFonts w:hAnsi="宋体" w:cs="方正仿宋_GBK"/>
          <w:sz w:val="24"/>
          <w:szCs w:val="24"/>
        </w:rPr>
        <w:br w:type="page"/>
      </w:r>
    </w:p>
    <w:p>
      <w:pPr>
        <w:pStyle w:val="3"/>
        <w:spacing w:line="360" w:lineRule="auto"/>
        <w:rPr>
          <w:rFonts w:ascii="宋体" w:hAnsi="宋体" w:eastAsia="宋体" w:cs="宋体"/>
        </w:rPr>
      </w:pPr>
      <w:r>
        <w:rPr>
          <w:rFonts w:hint="eastAsia" w:ascii="宋体" w:hAnsi="宋体" w:eastAsia="宋体" w:cs="宋体"/>
        </w:rPr>
        <w:t>第</w:t>
      </w:r>
      <w:r>
        <w:rPr>
          <w:rFonts w:hint="eastAsia" w:ascii="宋体" w:hAnsi="宋体" w:eastAsia="宋体" w:cs="宋体"/>
          <w:lang w:eastAsia="zh-CN"/>
        </w:rPr>
        <w:t>一</w:t>
      </w:r>
      <w:r>
        <w:rPr>
          <w:rFonts w:hint="eastAsia" w:ascii="宋体" w:hAnsi="宋体" w:eastAsia="宋体" w:cs="宋体"/>
        </w:rPr>
        <w:t>篇 项目技术要求</w:t>
      </w:r>
    </w:p>
    <w:p>
      <w:pPr>
        <w:pStyle w:val="4"/>
      </w:pPr>
      <w:bookmarkStart w:id="2" w:name="_Toc75252314"/>
      <w:r>
        <w:rPr>
          <w:rFonts w:hint="eastAsia"/>
        </w:rPr>
        <w:t>一、招标项目一览表</w:t>
      </w:r>
      <w:bookmarkEnd w:id="2"/>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6412"/>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rPr>
            </w:pPr>
            <w:r>
              <w:rPr>
                <w:rFonts w:hint="eastAsia" w:ascii="方正仿宋_GBK" w:hAnsi="宋体" w:eastAsia="方正仿宋_GBK"/>
                <w:b/>
                <w:sz w:val="21"/>
                <w:szCs w:val="21"/>
              </w:rPr>
              <w:t>序</w:t>
            </w:r>
            <w:r>
              <w:rPr>
                <w:rFonts w:hint="eastAsia" w:hAnsi="宋体" w:cs="宋体"/>
                <w:b/>
                <w:sz w:val="21"/>
                <w:szCs w:val="21"/>
              </w:rPr>
              <w:t>号</w:t>
            </w:r>
          </w:p>
        </w:tc>
        <w:tc>
          <w:tcPr>
            <w:tcW w:w="3762"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 称</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rPr>
            </w:pPr>
            <w:r>
              <w:rPr>
                <w:rFonts w:hint="eastAsia" w:ascii="方正仿宋_GBK" w:eastAsia="方正仿宋_GBK"/>
                <w:sz w:val="21"/>
                <w:szCs w:val="21"/>
              </w:rPr>
              <w:t>1</w:t>
            </w:r>
          </w:p>
        </w:tc>
        <w:tc>
          <w:tcPr>
            <w:tcW w:w="3762"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sz w:val="28"/>
                <w:szCs w:val="28"/>
                <w:lang w:eastAsia="zh-CN"/>
              </w:rPr>
              <w:t>手机版</w:t>
            </w:r>
            <w:r>
              <w:rPr>
                <w:rFonts w:hint="eastAsia"/>
                <w:sz w:val="28"/>
                <w:szCs w:val="28"/>
                <w:lang w:val="en-US" w:eastAsia="zh-CN"/>
              </w:rPr>
              <w:t>BI</w:t>
            </w:r>
          </w:p>
        </w:tc>
        <w:tc>
          <w:tcPr>
            <w:tcW w:w="711"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1套</w:t>
            </w:r>
          </w:p>
        </w:tc>
      </w:tr>
    </w:tbl>
    <w:p/>
    <w:p>
      <w:pPr>
        <w:pStyle w:val="4"/>
      </w:pPr>
      <w:bookmarkStart w:id="3" w:name="_Toc75252315"/>
      <w:r>
        <w:rPr>
          <w:rFonts w:hint="eastAsia"/>
        </w:rPr>
        <w:t>二、招标项目技术要求</w:t>
      </w:r>
      <w:bookmarkEnd w:id="3"/>
    </w:p>
    <w:p>
      <w:pPr>
        <w:pStyle w:val="5"/>
        <w:spacing w:before="156" w:line="360" w:lineRule="auto"/>
      </w:pPr>
      <w:r>
        <w:rPr>
          <w:rFonts w:hint="eastAsia"/>
        </w:rPr>
        <w:t>（一）建设背景</w:t>
      </w:r>
    </w:p>
    <w:p>
      <w:pPr>
        <w:pStyle w:val="20"/>
        <w:ind w:firstLine="480"/>
      </w:pPr>
      <w:r>
        <w:rPr>
          <w:rFonts w:hint="eastAsia"/>
        </w:rPr>
        <w:t>随着公立医院高质量发展的时代到来，我国公立医院发展方向已经从规模扩张转向提质增效，运行模式从粗放管理转向精细化管理，在十四五规划上国家更是对公立医院信息化建设能力上提出了更高的要求。医院决策支持系统的建设能够帮助医院，在数据利用方面得到极大的提升，在满足互联互通、电子病历评级建设的要求基础上，辅助医院做更精细化管理。在数据利用方面，医院决策支持系统能够展示决策过程中信息技术的决策支持能力，展示如何通过工具的使用，实时监控和规范临床诊疗行为和规则约束（特别是临床路径、指南、Bundle等标准化的诊疗规范），从而提高医疗服务治疗和运营效率。并且可以通过对数据的深入挖掘和分析，持续推进医院PDCA管理模式，最终对管理和临床进行改进。</w:t>
      </w:r>
    </w:p>
    <w:p>
      <w:pPr>
        <w:pStyle w:val="5"/>
        <w:spacing w:before="156" w:line="360" w:lineRule="auto"/>
      </w:pPr>
      <w:r>
        <w:rPr>
          <w:rFonts w:hint="eastAsia"/>
        </w:rPr>
        <w:t>（二）建设目标</w:t>
      </w:r>
    </w:p>
    <w:p>
      <w:pPr>
        <w:pStyle w:val="20"/>
        <w:ind w:firstLine="480"/>
      </w:pPr>
      <w:r>
        <w:rPr>
          <w:rFonts w:hint="eastAsia"/>
        </w:rPr>
        <w:t>基于医院数据中心建设的基础，通过数据清洗，借助可视化图表直观展示医院运营、管理、医疗质量等关键指标数据，支持通过实时监测、指标钻取查询实现对指标的监控、逐层细化、深化分析，帮助医院决策层、管理层以及各职能科室、业务处室和临床管理者，快速、清晰的掌握院科两级生产运营、管理及目标达成情况，实现提早控制和辅助决策的作用。</w:t>
      </w:r>
    </w:p>
    <w:p>
      <w:pPr>
        <w:pStyle w:val="5"/>
        <w:spacing w:before="156" w:line="360" w:lineRule="auto"/>
      </w:pPr>
      <w:r>
        <w:rPr>
          <w:rFonts w:hint="eastAsia"/>
        </w:rPr>
        <w:t>（三）技术要求</w:t>
      </w:r>
    </w:p>
    <w:p>
      <w:pPr>
        <w:pStyle w:val="6"/>
        <w:numPr>
          <w:ilvl w:val="0"/>
          <w:numId w:val="2"/>
        </w:numPr>
      </w:pPr>
      <w:bookmarkStart w:id="4" w:name="_Toc129687352"/>
      <w:bookmarkStart w:id="5" w:name="_Toc114147841"/>
      <w:bookmarkStart w:id="6" w:name="_Toc480211911"/>
      <w:bookmarkStart w:id="7" w:name="_Toc491370570"/>
      <w:r>
        <w:rPr>
          <w:rFonts w:hint="eastAsia"/>
        </w:rPr>
        <w:t>移动决策</w:t>
      </w:r>
      <w:bookmarkEnd w:id="4"/>
    </w:p>
    <w:p>
      <w:pPr>
        <w:pStyle w:val="20"/>
        <w:ind w:firstLine="480"/>
      </w:pPr>
      <w:r>
        <w:rPr>
          <w:rFonts w:hint="eastAsia"/>
        </w:rPr>
        <w:t>投标人所投产品需支持通过嵌入钉钉应用软件，运用工具的数据钻取和指标的灵活展现功能，为医院管理者决策分析提供及时、准确的量化数据和深入分析，帮助管理者快速发现医院发展中出现的问题，推进管理模式和运行方式加快转变，进一步提高医院运营绩效管理科学化、规范化、精细化和信息化水平。功能列表包括移动报表管理、指标搜索、指标推荐、指标收藏、批注分享。</w:t>
      </w:r>
    </w:p>
    <w:p>
      <w:pPr>
        <w:pStyle w:val="7"/>
      </w:pPr>
      <w:bookmarkStart w:id="8" w:name="_Toc129687353"/>
      <w:r>
        <w:rPr>
          <w:rFonts w:hint="eastAsia"/>
        </w:rPr>
        <w:t>1</w:t>
      </w:r>
      <w:r>
        <w:t>.1</w:t>
      </w:r>
      <w:r>
        <w:rPr>
          <w:rFonts w:hint="eastAsia"/>
        </w:rPr>
        <w:t>指标管理</w:t>
      </w:r>
      <w:bookmarkEnd w:id="8"/>
    </w:p>
    <w:p>
      <w:pPr>
        <w:pStyle w:val="20"/>
        <w:ind w:firstLine="480"/>
      </w:pPr>
      <w:r>
        <w:rPr>
          <w:rFonts w:hint="eastAsia"/>
        </w:rPr>
        <w:t>移动报表管理依据职能科室管理属性而划分各个业务领域模块、指标展示界面分析管理。通过获取数据仓库数据，配置指标共性分析展示，投标人所投产品需包括指标同期对比分析和趋势分析配置。同时，可针对全院到科室不同层级的个性化配置，提供饼图、条形图、折线图等不同图形的配置，丰富指标展示内容，满足用户个性化需求。</w:t>
      </w:r>
    </w:p>
    <w:p>
      <w:pPr>
        <w:pStyle w:val="20"/>
        <w:ind w:firstLine="480"/>
      </w:pPr>
      <w:r>
        <w:rPr>
          <w:rFonts w:hint="eastAsia"/>
        </w:rPr>
        <w:t>移动报表指标类型需包括普通指标和预警指标。普通指标展示指标的基本分析内容。预警指标根据与预警目标值对比，显示指标预警程度以及对应预警的全院或科室，直接提醒用户预警信息面貌。</w:t>
      </w:r>
    </w:p>
    <w:p>
      <w:pPr>
        <w:pStyle w:val="7"/>
      </w:pPr>
      <w:bookmarkStart w:id="9" w:name="_Toc129687354"/>
      <w:r>
        <w:rPr>
          <w:rFonts w:hint="eastAsia"/>
        </w:rPr>
        <w:t>1</w:t>
      </w:r>
      <w:r>
        <w:t>.2</w:t>
      </w:r>
      <w:r>
        <w:rPr>
          <w:rFonts w:hint="eastAsia"/>
        </w:rPr>
        <w:t>指标搜索</w:t>
      </w:r>
      <w:bookmarkEnd w:id="9"/>
    </w:p>
    <w:p>
      <w:pPr>
        <w:pStyle w:val="20"/>
        <w:ind w:firstLine="480"/>
      </w:pPr>
      <w:r>
        <w:rPr>
          <w:rFonts w:hint="eastAsia"/>
        </w:rPr>
        <w:t>投标人所投产品需提供指标查询服务，需支持用户根据所查询的条件筛选指标内容。同时，需支持用户通过指标搜索，定位到指标所分析内容的关键信息，及时获取统计信息，快速查找指标相关内容。</w:t>
      </w:r>
    </w:p>
    <w:p>
      <w:pPr>
        <w:pStyle w:val="7"/>
      </w:pPr>
      <w:bookmarkStart w:id="10" w:name="_Toc129687355"/>
      <w:r>
        <w:rPr>
          <w:rFonts w:hint="eastAsia"/>
        </w:rPr>
        <w:t>1</w:t>
      </w:r>
      <w:r>
        <w:t>.3</w:t>
      </w:r>
      <w:r>
        <w:rPr>
          <w:rFonts w:hint="eastAsia"/>
        </w:rPr>
        <w:t>指标推荐</w:t>
      </w:r>
      <w:bookmarkEnd w:id="10"/>
    </w:p>
    <w:p>
      <w:pPr>
        <w:pStyle w:val="20"/>
        <w:ind w:firstLine="480"/>
      </w:pPr>
      <w:r>
        <w:rPr>
          <w:rFonts w:hint="eastAsia"/>
        </w:rPr>
        <w:t>投标人所投产品需支持对用户经常查看的指标推荐在首页，用户可了解近期关注的指标内容。通过指标推荐窗口用户可直接定位到指标分析界面上，及时获取指标信息。</w:t>
      </w:r>
    </w:p>
    <w:p>
      <w:pPr>
        <w:pStyle w:val="7"/>
      </w:pPr>
      <w:bookmarkStart w:id="11" w:name="_Toc129687356"/>
      <w:r>
        <w:rPr>
          <w:rFonts w:hint="eastAsia"/>
        </w:rPr>
        <w:t>1</w:t>
      </w:r>
      <w:r>
        <w:t>.4</w:t>
      </w:r>
      <w:r>
        <w:rPr>
          <w:rFonts w:hint="eastAsia"/>
        </w:rPr>
        <w:t>指标收藏</w:t>
      </w:r>
      <w:bookmarkEnd w:id="11"/>
    </w:p>
    <w:p>
      <w:pPr>
        <w:pStyle w:val="20"/>
        <w:ind w:firstLine="480"/>
      </w:pPr>
      <w:r>
        <w:rPr>
          <w:rFonts w:hint="eastAsia"/>
        </w:rPr>
        <w:t>投标人所投产品需支持指标</w:t>
      </w:r>
      <w:r>
        <w:t>收藏</w:t>
      </w:r>
      <w:r>
        <w:rPr>
          <w:rFonts w:hint="eastAsia"/>
        </w:rPr>
        <w:t>：</w:t>
      </w:r>
      <w:r>
        <w:t>指针对不同用户所关注的</w:t>
      </w:r>
      <w:r>
        <w:rPr>
          <w:rFonts w:hint="eastAsia"/>
        </w:rPr>
        <w:t>监管指标</w:t>
      </w:r>
      <w:r>
        <w:t>不同，</w:t>
      </w:r>
      <w:r>
        <w:rPr>
          <w:rFonts w:hint="eastAsia"/>
        </w:rPr>
        <w:t>故</w:t>
      </w:r>
      <w:r>
        <w:t>需要提供不同用户的日常重点指标的收藏夹，</w:t>
      </w:r>
      <w:r>
        <w:rPr>
          <w:rFonts w:hint="eastAsia"/>
        </w:rPr>
        <w:t>用于</w:t>
      </w:r>
      <w:r>
        <w:t>可以快速</w:t>
      </w:r>
      <w:r>
        <w:rPr>
          <w:rFonts w:hint="eastAsia"/>
        </w:rPr>
        <w:t>定位</w:t>
      </w:r>
      <w:r>
        <w:t>日常应用的相关指标内容。</w:t>
      </w:r>
      <w:r>
        <w:rPr>
          <w:rFonts w:hint="eastAsia"/>
        </w:rPr>
        <w:t>方便用户</w:t>
      </w:r>
      <w:r>
        <w:t>有效缩短</w:t>
      </w:r>
      <w:r>
        <w:rPr>
          <w:rFonts w:hint="eastAsia"/>
        </w:rPr>
        <w:t>定位</w:t>
      </w:r>
      <w:r>
        <w:t>指标的时间，提高监管的</w:t>
      </w:r>
      <w:r>
        <w:rPr>
          <w:rFonts w:hint="eastAsia"/>
        </w:rPr>
        <w:t>有效性</w:t>
      </w:r>
      <w:r>
        <w:t>。</w:t>
      </w:r>
    </w:p>
    <w:p>
      <w:pPr>
        <w:pStyle w:val="7"/>
      </w:pPr>
      <w:bookmarkStart w:id="12" w:name="_Toc129687357"/>
      <w:r>
        <w:rPr>
          <w:rFonts w:hint="eastAsia"/>
        </w:rPr>
        <w:t>1</w:t>
      </w:r>
      <w:r>
        <w:t>.5</w:t>
      </w:r>
      <w:r>
        <w:rPr>
          <w:rFonts w:hint="eastAsia"/>
        </w:rPr>
        <w:t>批注分享</w:t>
      </w:r>
      <w:bookmarkEnd w:id="12"/>
    </w:p>
    <w:p>
      <w:pPr>
        <w:pStyle w:val="20"/>
        <w:ind w:firstLine="480"/>
      </w:pPr>
      <w:r>
        <w:rPr>
          <w:rFonts w:hint="eastAsia"/>
        </w:rPr>
        <w:t>投标人所投产品需支持批注分享功能，帮助用户更好的标记模板，对指标分析界面可添加修改意见、注释或说明。批注后的模板发送给其他用户，共同监管指标内容，提高工作处理效率。</w:t>
      </w:r>
    </w:p>
    <w:p>
      <w:pPr>
        <w:pStyle w:val="7"/>
      </w:pPr>
      <w:bookmarkStart w:id="13" w:name="_Toc129687358"/>
      <w:r>
        <w:rPr>
          <w:rFonts w:hint="eastAsia"/>
        </w:rPr>
        <w:t>1</w:t>
      </w:r>
      <w:r>
        <w:t>.6</w:t>
      </w:r>
      <w:r>
        <w:rPr>
          <w:rFonts w:hint="eastAsia"/>
        </w:rPr>
        <w:t>实时监测</w:t>
      </w:r>
      <w:bookmarkEnd w:id="13"/>
    </w:p>
    <w:p>
      <w:pPr>
        <w:pStyle w:val="20"/>
        <w:ind w:firstLine="480"/>
      </w:pPr>
      <w:r>
        <w:rPr>
          <w:rFonts w:hint="eastAsia"/>
        </w:rPr>
        <w:t>投标人所投产品需提供重点指标和重点疾病数据实时监测，需提供全面准确的数据分析统计，方便用户查看、查询和管理。用户可实时掌握医疗数据的整体状况，对医院医疗现状进行有效干预，做到预防、控制、持续改进，降低医疗风险，提供医疗服务水平。</w:t>
      </w:r>
    </w:p>
    <w:p>
      <w:pPr>
        <w:pStyle w:val="7"/>
      </w:pPr>
      <w:bookmarkStart w:id="14" w:name="_Toc129687359"/>
      <w:r>
        <w:rPr>
          <w:rFonts w:hint="eastAsia"/>
        </w:rPr>
        <w:t>1</w:t>
      </w:r>
      <w:r>
        <w:t>.7</w:t>
      </w:r>
      <w:r>
        <w:rPr>
          <w:rFonts w:hint="eastAsia"/>
        </w:rPr>
        <w:t>指标分析</w:t>
      </w:r>
      <w:bookmarkEnd w:id="14"/>
    </w:p>
    <w:p>
      <w:pPr>
        <w:pStyle w:val="20"/>
        <w:ind w:firstLine="480"/>
      </w:pPr>
      <w:r>
        <w:rPr>
          <w:rFonts w:hint="eastAsia"/>
        </w:rPr>
        <w:t>投标人所投产品需支持移动指标分析：主要分为工作量、卫生经济、药品监管、医疗质量四大模块。</w:t>
      </w:r>
    </w:p>
    <w:p>
      <w:pPr>
        <w:pStyle w:val="8"/>
        <w:numPr>
          <w:ilvl w:val="0"/>
          <w:numId w:val="0"/>
        </w:numPr>
        <w:ind w:firstLine="482" w:firstLineChars="200"/>
      </w:pPr>
      <w:r>
        <w:rPr>
          <w:rFonts w:hint="eastAsia"/>
        </w:rPr>
        <w:t>1.</w:t>
      </w:r>
      <w:r>
        <w:t>7.1</w:t>
      </w:r>
      <w:r>
        <w:rPr>
          <w:rFonts w:hint="eastAsia"/>
        </w:rPr>
        <w:t>工作量</w:t>
      </w:r>
    </w:p>
    <w:p>
      <w:pPr>
        <w:pStyle w:val="20"/>
        <w:ind w:firstLine="480"/>
      </w:pPr>
      <w:r>
        <w:rPr>
          <w:rFonts w:hint="eastAsia"/>
        </w:rPr>
        <w:t>投标人所投产品需支持工作量模块从门诊、住院、手术、医技四个维度出发，分别以柱状图、饼图、曲线图等不同的方式展示全院工作量</w:t>
      </w:r>
      <w:r>
        <w:t>指标</w:t>
      </w:r>
      <w:r>
        <w:rPr>
          <w:rFonts w:hint="eastAsia"/>
        </w:rPr>
        <w:t>进行分析,如：门急诊人次、出院人次数、入院人次数、住院手术台数、三四级手术比例、检查检验人次，</w:t>
      </w:r>
      <w:r>
        <w:t>了解</w:t>
      </w:r>
      <w:r>
        <w:rPr>
          <w:rFonts w:hint="eastAsia"/>
        </w:rPr>
        <w:t>全院各项业务的</w:t>
      </w:r>
      <w:r>
        <w:t>工作量情况，</w:t>
      </w:r>
      <w:r>
        <w:rPr>
          <w:rFonts w:hint="eastAsia"/>
        </w:rPr>
        <w:t>并实现关键指标从全院到科室的层级下钻分析。</w:t>
      </w:r>
    </w:p>
    <w:p>
      <w:pPr>
        <w:pStyle w:val="8"/>
        <w:numPr>
          <w:ilvl w:val="0"/>
          <w:numId w:val="0"/>
        </w:numPr>
        <w:ind w:firstLine="482" w:firstLineChars="200"/>
      </w:pPr>
      <w:r>
        <w:rPr>
          <w:rFonts w:hint="eastAsia"/>
        </w:rPr>
        <w:t>1</w:t>
      </w:r>
      <w:r>
        <w:t>.7.2</w:t>
      </w:r>
      <w:r>
        <w:rPr>
          <w:rFonts w:hint="eastAsia"/>
        </w:rPr>
        <w:t>卫生经济</w:t>
      </w:r>
    </w:p>
    <w:p>
      <w:pPr>
        <w:pStyle w:val="20"/>
        <w:ind w:firstLine="480"/>
      </w:pPr>
      <w:r>
        <w:rPr>
          <w:rFonts w:hint="eastAsia"/>
        </w:rPr>
        <w:t>卫生经济模块是辅助医院精细化管理核心，投标人所投产品需支持通过对费用结构分析、资源消耗分析、床位周转分析实现对运营内容的监控、逐层细化、深化分析，同时以“指标池为中心”，实现“一数一源”，主要需包括次均门急诊费用、次均住院费用、病床使用率、病床周转次数、平均住院天数、检查检验占比、药耗占比、医疗总收入。帮助院领导进行卫生经济层面的辅助决策。</w:t>
      </w:r>
    </w:p>
    <w:p>
      <w:pPr>
        <w:pStyle w:val="8"/>
        <w:numPr>
          <w:ilvl w:val="0"/>
          <w:numId w:val="0"/>
        </w:numPr>
        <w:ind w:firstLine="482" w:firstLineChars="200"/>
      </w:pPr>
      <w:r>
        <w:rPr>
          <w:rFonts w:hint="eastAsia"/>
        </w:rPr>
        <w:t>1</w:t>
      </w:r>
      <w:r>
        <w:t>.7.3</w:t>
      </w:r>
      <w:r>
        <w:rPr>
          <w:rFonts w:hint="eastAsia"/>
        </w:rPr>
        <w:t>药品监管</w:t>
      </w:r>
    </w:p>
    <w:p>
      <w:pPr>
        <w:pStyle w:val="20"/>
        <w:ind w:firstLine="480"/>
      </w:pPr>
      <w:r>
        <w:rPr>
          <w:rFonts w:hint="eastAsia"/>
        </w:rPr>
        <w:t>投标人所投产品需支持药品监管：需支持通过对基本药物、抗菌药物、药品占比三个维度进行监测，分别以柱状图、饼图、曲线图等不同的方式展示全院药品</w:t>
      </w:r>
      <w:r>
        <w:t>指标</w:t>
      </w:r>
      <w:r>
        <w:rPr>
          <w:rFonts w:hint="eastAsia"/>
        </w:rPr>
        <w:t>的监管,如：基本药物比例、基本药物费用、基本药物占比、门诊抗菌药物占比、住院抗菌药物占比、药品总费用、门诊药品收入、门诊药占比、住院药占比指标，</w:t>
      </w:r>
      <w:r>
        <w:t>了解</w:t>
      </w:r>
      <w:r>
        <w:rPr>
          <w:rFonts w:hint="eastAsia"/>
        </w:rPr>
        <w:t>全院药品使用监管</w:t>
      </w:r>
      <w:r>
        <w:t>情况，</w:t>
      </w:r>
      <w:r>
        <w:rPr>
          <w:rFonts w:hint="eastAsia"/>
        </w:rPr>
        <w:t>并实现关键指标从全院到科室的层级下钻分析。</w:t>
      </w:r>
    </w:p>
    <w:p>
      <w:pPr>
        <w:pStyle w:val="8"/>
        <w:numPr>
          <w:ilvl w:val="0"/>
          <w:numId w:val="0"/>
        </w:numPr>
        <w:ind w:firstLine="482" w:firstLineChars="200"/>
      </w:pPr>
      <w:r>
        <w:rPr>
          <w:rFonts w:hint="eastAsia"/>
        </w:rPr>
        <w:t>1</w:t>
      </w:r>
      <w:r>
        <w:t>.7.4</w:t>
      </w:r>
      <w:r>
        <w:rPr>
          <w:rFonts w:hint="eastAsia"/>
        </w:rPr>
        <w:t>医疗质量</w:t>
      </w:r>
    </w:p>
    <w:p>
      <w:pPr>
        <w:pStyle w:val="20"/>
        <w:ind w:firstLine="480"/>
        <w:rPr>
          <w:kern w:val="0"/>
          <w:szCs w:val="24"/>
        </w:rPr>
      </w:pPr>
      <w:r>
        <w:rPr>
          <w:rFonts w:hint="eastAsia"/>
        </w:rPr>
        <w:t>医疗质量模块是根据院内医务日常管理制度，制定集中监管的指标内容，投标人所投产品需包括择临床路径管理、死亡分析、重返类分析；其中包括临床路径入径率、临床路径完成率、临床路径医嘱完成率、手术死亡人次、手术总死亡率、住院死亡人次、新生儿住院死亡人数、重点病种死亡人数、住院总死亡率、1</w:t>
      </w:r>
      <w:r>
        <w:t>6-31</w:t>
      </w:r>
      <w:r>
        <w:rPr>
          <w:rFonts w:hint="eastAsia"/>
        </w:rPr>
        <w:t>天再入院率、</w:t>
      </w:r>
      <w:r>
        <w:t>2-15</w:t>
      </w:r>
      <w:r>
        <w:rPr>
          <w:rFonts w:hint="eastAsia"/>
        </w:rPr>
        <w:t>天再入院率、</w:t>
      </w:r>
      <w:r>
        <w:t>24</w:t>
      </w:r>
      <w:r>
        <w:rPr>
          <w:rFonts w:hint="eastAsia"/>
        </w:rPr>
        <w:t>小时再入院率指标分别以柱状图、饼图、曲线图等不同的方式展示监测指标，</w:t>
      </w:r>
      <w:r>
        <w:t>了解</w:t>
      </w:r>
      <w:r>
        <w:rPr>
          <w:rFonts w:hint="eastAsia"/>
        </w:rPr>
        <w:t>全院各项医疗质量管理</w:t>
      </w:r>
      <w:r>
        <w:t>情况，</w:t>
      </w:r>
      <w:r>
        <w:rPr>
          <w:rFonts w:hint="eastAsia"/>
        </w:rPr>
        <w:t>并实现关键指标从全院到科室的层级下钻分析。</w:t>
      </w:r>
    </w:p>
    <w:bookmarkEnd w:id="5"/>
    <w:bookmarkEnd w:id="6"/>
    <w:bookmarkEnd w:id="7"/>
    <w:p>
      <w:pPr>
        <w:pStyle w:val="6"/>
        <w:numPr>
          <w:ilvl w:val="0"/>
          <w:numId w:val="2"/>
        </w:numPr>
      </w:pPr>
      <w:bookmarkStart w:id="15" w:name="_Toc114143994"/>
      <w:bookmarkEnd w:id="15"/>
      <w:bookmarkStart w:id="16" w:name="_Toc114147718"/>
      <w:bookmarkEnd w:id="16"/>
      <w:bookmarkStart w:id="17" w:name="_Toc114144011"/>
      <w:bookmarkEnd w:id="17"/>
      <w:bookmarkStart w:id="18" w:name="_Toc114143997"/>
      <w:bookmarkEnd w:id="18"/>
      <w:bookmarkStart w:id="19" w:name="_Toc114147720"/>
      <w:bookmarkEnd w:id="19"/>
      <w:bookmarkStart w:id="20" w:name="_Toc114144006"/>
      <w:bookmarkEnd w:id="20"/>
      <w:bookmarkStart w:id="21" w:name="_Toc114147717"/>
      <w:bookmarkEnd w:id="21"/>
      <w:bookmarkStart w:id="22" w:name="_Toc114143996"/>
      <w:bookmarkEnd w:id="22"/>
      <w:bookmarkStart w:id="23" w:name="_Toc114147722"/>
      <w:bookmarkEnd w:id="23"/>
      <w:bookmarkStart w:id="24" w:name="_Toc114143991"/>
      <w:bookmarkEnd w:id="24"/>
      <w:bookmarkStart w:id="25" w:name="_Toc114147735"/>
      <w:bookmarkEnd w:id="25"/>
      <w:bookmarkStart w:id="26" w:name="_Toc114147730"/>
      <w:bookmarkEnd w:id="26"/>
      <w:bookmarkStart w:id="27" w:name="_Toc114144007"/>
      <w:bookmarkEnd w:id="27"/>
      <w:bookmarkStart w:id="28" w:name="_Toc114143995"/>
      <w:bookmarkEnd w:id="28"/>
      <w:bookmarkStart w:id="29" w:name="_Toc114144002"/>
      <w:bookmarkEnd w:id="29"/>
      <w:bookmarkStart w:id="30" w:name="_Toc114147737"/>
      <w:bookmarkEnd w:id="30"/>
      <w:bookmarkStart w:id="31" w:name="_Toc114147712"/>
      <w:bookmarkEnd w:id="31"/>
      <w:bookmarkStart w:id="32" w:name="_Toc114143998"/>
      <w:bookmarkEnd w:id="32"/>
      <w:bookmarkStart w:id="33" w:name="_Toc114144010"/>
      <w:bookmarkEnd w:id="33"/>
      <w:bookmarkStart w:id="34" w:name="_Toc114144009"/>
      <w:bookmarkEnd w:id="34"/>
      <w:bookmarkStart w:id="35" w:name="_Toc114144001"/>
      <w:bookmarkEnd w:id="35"/>
      <w:bookmarkStart w:id="36" w:name="_Toc114147726"/>
      <w:bookmarkEnd w:id="36"/>
      <w:bookmarkStart w:id="37" w:name="_Toc114147715"/>
      <w:bookmarkEnd w:id="37"/>
      <w:bookmarkStart w:id="38" w:name="_Toc114143993"/>
      <w:bookmarkEnd w:id="38"/>
      <w:bookmarkStart w:id="39" w:name="_Toc114147719"/>
      <w:bookmarkEnd w:id="39"/>
      <w:bookmarkStart w:id="40" w:name="_Toc114147721"/>
      <w:bookmarkEnd w:id="40"/>
      <w:bookmarkStart w:id="41" w:name="_Toc114147727"/>
      <w:bookmarkEnd w:id="41"/>
      <w:bookmarkStart w:id="42" w:name="_Toc114143999"/>
      <w:bookmarkEnd w:id="42"/>
      <w:bookmarkStart w:id="43" w:name="_Toc114144000"/>
      <w:bookmarkEnd w:id="43"/>
      <w:bookmarkStart w:id="44" w:name="_Toc114147728"/>
      <w:bookmarkEnd w:id="44"/>
      <w:bookmarkStart w:id="45" w:name="_Toc114144003"/>
      <w:bookmarkEnd w:id="45"/>
      <w:bookmarkStart w:id="46" w:name="_Toc114147724"/>
      <w:bookmarkEnd w:id="46"/>
      <w:bookmarkStart w:id="47" w:name="_Toc114147714"/>
      <w:bookmarkEnd w:id="47"/>
      <w:bookmarkStart w:id="48" w:name="_Toc114144023"/>
      <w:bookmarkEnd w:id="48"/>
      <w:bookmarkStart w:id="49" w:name="_Toc114144024"/>
      <w:bookmarkEnd w:id="49"/>
      <w:bookmarkStart w:id="50" w:name="_Toc114144025"/>
      <w:bookmarkEnd w:id="50"/>
      <w:bookmarkStart w:id="51" w:name="_Toc114147736"/>
      <w:bookmarkEnd w:id="51"/>
      <w:bookmarkStart w:id="52" w:name="_Toc114144004"/>
      <w:bookmarkEnd w:id="52"/>
      <w:bookmarkStart w:id="53" w:name="_Toc114147782"/>
      <w:bookmarkEnd w:id="53"/>
      <w:bookmarkStart w:id="54" w:name="_Toc114147796"/>
      <w:bookmarkEnd w:id="54"/>
      <w:bookmarkStart w:id="55" w:name="_Toc114147799"/>
      <w:bookmarkEnd w:id="55"/>
      <w:bookmarkStart w:id="56" w:name="_Toc114147800"/>
      <w:bookmarkEnd w:id="56"/>
      <w:bookmarkStart w:id="57" w:name="_Toc114144015"/>
      <w:bookmarkEnd w:id="57"/>
      <w:bookmarkStart w:id="58" w:name="_Toc114147729"/>
      <w:bookmarkEnd w:id="58"/>
      <w:bookmarkStart w:id="59" w:name="_Toc114144050"/>
      <w:bookmarkEnd w:id="59"/>
      <w:bookmarkStart w:id="60" w:name="_Toc114144048"/>
      <w:bookmarkEnd w:id="60"/>
      <w:bookmarkStart w:id="61" w:name="_Toc114147731"/>
      <w:bookmarkEnd w:id="61"/>
      <w:bookmarkStart w:id="62" w:name="_Toc114144075"/>
      <w:bookmarkEnd w:id="62"/>
      <w:bookmarkStart w:id="63" w:name="_Toc114147734"/>
      <w:bookmarkEnd w:id="63"/>
      <w:bookmarkStart w:id="64" w:name="_Toc114147744"/>
      <w:bookmarkEnd w:id="64"/>
      <w:bookmarkStart w:id="65" w:name="_Toc114144014"/>
      <w:bookmarkEnd w:id="65"/>
      <w:bookmarkStart w:id="66" w:name="_Toc114147746"/>
      <w:bookmarkEnd w:id="66"/>
      <w:bookmarkStart w:id="67" w:name="_Toc114147772"/>
      <w:bookmarkEnd w:id="67"/>
      <w:bookmarkStart w:id="68" w:name="_Toc114147768"/>
      <w:bookmarkEnd w:id="68"/>
      <w:bookmarkStart w:id="69" w:name="_Toc114144049"/>
      <w:bookmarkEnd w:id="69"/>
      <w:bookmarkStart w:id="70" w:name="_Toc114147770"/>
      <w:bookmarkEnd w:id="70"/>
      <w:bookmarkStart w:id="71" w:name="_Toc114147771"/>
      <w:bookmarkEnd w:id="71"/>
      <w:bookmarkStart w:id="72" w:name="_Toc114147805"/>
      <w:bookmarkEnd w:id="72"/>
      <w:bookmarkStart w:id="73" w:name="_Toc114147806"/>
      <w:bookmarkEnd w:id="73"/>
      <w:bookmarkStart w:id="74" w:name="_Toc114147795"/>
      <w:bookmarkEnd w:id="74"/>
      <w:bookmarkStart w:id="75" w:name="_Toc114144008"/>
      <w:bookmarkEnd w:id="75"/>
      <w:bookmarkStart w:id="76" w:name="_Toc114147745"/>
      <w:bookmarkEnd w:id="76"/>
      <w:bookmarkStart w:id="77" w:name="_Toc114147809"/>
      <w:bookmarkEnd w:id="77"/>
      <w:bookmarkStart w:id="78" w:name="_Toc114144076"/>
      <w:bookmarkEnd w:id="78"/>
      <w:bookmarkStart w:id="79" w:name="_Toc114147807"/>
      <w:bookmarkEnd w:id="79"/>
      <w:bookmarkStart w:id="80" w:name="_Toc114144077"/>
      <w:bookmarkEnd w:id="80"/>
      <w:bookmarkStart w:id="81" w:name="_Toc114147813"/>
      <w:bookmarkEnd w:id="81"/>
      <w:bookmarkStart w:id="82" w:name="_Toc114144082"/>
      <w:bookmarkEnd w:id="82"/>
      <w:bookmarkStart w:id="83" w:name="_Toc114144083"/>
      <w:bookmarkEnd w:id="83"/>
      <w:bookmarkStart w:id="84" w:name="_Toc114147810"/>
      <w:bookmarkEnd w:id="84"/>
      <w:bookmarkStart w:id="85" w:name="_Toc114144084"/>
      <w:bookmarkEnd w:id="85"/>
      <w:bookmarkStart w:id="86" w:name="_Toc114144085"/>
      <w:bookmarkEnd w:id="86"/>
      <w:bookmarkStart w:id="87" w:name="_Toc114147797"/>
      <w:bookmarkEnd w:id="87"/>
      <w:bookmarkStart w:id="88" w:name="_Toc114147814"/>
      <w:bookmarkEnd w:id="88"/>
      <w:bookmarkStart w:id="89" w:name="_Toc114147793"/>
      <w:bookmarkEnd w:id="89"/>
      <w:bookmarkStart w:id="90" w:name="_Toc114144080"/>
      <w:bookmarkEnd w:id="90"/>
      <w:bookmarkStart w:id="91" w:name="_Toc114147812"/>
      <w:bookmarkEnd w:id="91"/>
      <w:bookmarkStart w:id="92" w:name="_Toc114147803"/>
      <w:bookmarkEnd w:id="92"/>
      <w:bookmarkStart w:id="93" w:name="_Toc114147808"/>
      <w:bookmarkEnd w:id="93"/>
      <w:bookmarkStart w:id="94" w:name="_Toc114144078"/>
      <w:bookmarkEnd w:id="94"/>
      <w:bookmarkStart w:id="95" w:name="_Toc114147811"/>
      <w:bookmarkEnd w:id="95"/>
      <w:bookmarkStart w:id="96" w:name="_Toc114144074"/>
      <w:bookmarkEnd w:id="96"/>
      <w:bookmarkStart w:id="97" w:name="_Toc114144016"/>
      <w:bookmarkEnd w:id="97"/>
      <w:bookmarkStart w:id="98" w:name="_Toc114147804"/>
      <w:bookmarkEnd w:id="98"/>
      <w:bookmarkStart w:id="99" w:name="_Toc114144081"/>
      <w:bookmarkEnd w:id="99"/>
      <w:bookmarkStart w:id="100" w:name="_Toc114144079"/>
      <w:bookmarkEnd w:id="100"/>
      <w:bookmarkStart w:id="101" w:name="_Toc114147732"/>
      <w:bookmarkEnd w:id="101"/>
      <w:bookmarkStart w:id="102" w:name="_Toc114144013"/>
      <w:bookmarkEnd w:id="102"/>
      <w:bookmarkStart w:id="103" w:name="_Toc114147716"/>
      <w:bookmarkEnd w:id="103"/>
      <w:bookmarkStart w:id="104" w:name="_Toc114147713"/>
      <w:bookmarkEnd w:id="104"/>
      <w:bookmarkStart w:id="105" w:name="_Toc114147725"/>
      <w:bookmarkEnd w:id="105"/>
      <w:bookmarkStart w:id="106" w:name="_Toc114147723"/>
      <w:bookmarkEnd w:id="106"/>
      <w:bookmarkStart w:id="107" w:name="_Toc114144005"/>
      <w:bookmarkEnd w:id="107"/>
      <w:bookmarkStart w:id="108" w:name="_Toc114147733"/>
      <w:bookmarkEnd w:id="108"/>
      <w:bookmarkStart w:id="109" w:name="_Toc114144012"/>
      <w:bookmarkEnd w:id="109"/>
      <w:bookmarkStart w:id="110" w:name="_Toc114143992"/>
      <w:bookmarkEnd w:id="110"/>
      <w:r>
        <w:rPr>
          <w:rFonts w:hint="eastAsia"/>
        </w:rPr>
        <w:t>其它</w:t>
      </w:r>
    </w:p>
    <w:p>
      <w:pPr>
        <w:pStyle w:val="20"/>
        <w:ind w:firstLine="480"/>
      </w:pPr>
      <w:r>
        <w:rPr>
          <w:rFonts w:hint="eastAsia"/>
          <w:lang w:eastAsia="zh-CN"/>
        </w:rPr>
        <w:t xml:space="preserve"> </w:t>
      </w:r>
      <w:r>
        <w:t>1</w:t>
      </w:r>
      <w:r>
        <w:rPr>
          <w:rFonts w:hint="eastAsia"/>
        </w:rPr>
        <w:t>、投标人需承诺本次新建BI移动端平台的实施过程中所产生的系统程序改造费用，与医院H</w:t>
      </w:r>
      <w:r>
        <w:t>IS</w:t>
      </w:r>
      <w:r>
        <w:rPr>
          <w:rFonts w:hint="eastAsia"/>
        </w:rPr>
        <w:t>，电子病历系统对接的费用，都包含在本次采购预算中，采购方不再支付与此相关的任何费用。</w:t>
      </w:r>
    </w:p>
    <w:p>
      <w:pPr>
        <w:pStyle w:val="20"/>
        <w:ind w:firstLine="480"/>
      </w:pPr>
      <w:r>
        <w:rPr>
          <w:rFonts w:hint="eastAsia"/>
          <w:lang w:eastAsia="zh-CN"/>
        </w:rPr>
        <w:t xml:space="preserve"> </w:t>
      </w:r>
      <w:r>
        <w:t>2</w:t>
      </w:r>
      <w:r>
        <w:rPr>
          <w:rFonts w:hint="eastAsia"/>
        </w:rPr>
        <w:t>、在项目实施改造过程中，须承诺与医院原有信息系统（如HIS、EMR）做到无缝融合，在全面规范和整理现有数据、优化现有业务流程的基础上，确保新增系统模块的平稳过渡，确保目前的业务系统运作不停顿，确保现有资源，尤其是医疗数据资源得到充分的保护和利用。</w:t>
      </w:r>
    </w:p>
    <w:p>
      <w:pPr>
        <w:pStyle w:val="20"/>
        <w:ind w:firstLine="480"/>
      </w:pPr>
      <w:r>
        <w:t>3</w:t>
      </w:r>
      <w:r>
        <w:rPr>
          <w:rFonts w:hint="eastAsia"/>
        </w:rPr>
        <w:t>、为保证数据的延续性及易维护性，须承诺新增系统模块能与医院现有的基础字典表（操作员表、职工表、科室字典表、诊疗项目价表等）数据一致，即使用医院现有信息系统的基础字典表。本项目涉及到的所有数据源均需要从底层数据中进行获取。（如中标人需要进一步获得采购人现有信息系统对数据对接、数据流程、数据架构等相关技术方面的支持服务，所产生的费用由中标人自行承担）。</w:t>
      </w:r>
    </w:p>
    <w:p>
      <w:pPr>
        <w:pStyle w:val="20"/>
        <w:ind w:firstLine="480"/>
      </w:pPr>
    </w:p>
    <w:p>
      <w:pPr>
        <w:rPr>
          <w:rFonts w:hint="eastAsia" w:ascii="宋体" w:hAnsi="宋体" w:eastAsia="宋体" w:cs="宋体"/>
        </w:rPr>
      </w:pPr>
      <w:bookmarkStart w:id="111" w:name="_Toc19113858"/>
      <w:bookmarkStart w:id="112" w:name="_Toc75252316"/>
      <w:bookmarkStart w:id="113" w:name="_Toc267320049"/>
      <w:r>
        <w:rPr>
          <w:rFonts w:hint="eastAsia" w:ascii="宋体" w:hAnsi="宋体" w:eastAsia="宋体" w:cs="宋体"/>
        </w:rPr>
        <w:br w:type="page"/>
      </w:r>
    </w:p>
    <w:p>
      <w:pPr>
        <w:pStyle w:val="3"/>
        <w:spacing w:line="360" w:lineRule="auto"/>
        <w:rPr>
          <w:rFonts w:ascii="宋体" w:hAnsi="宋体" w:eastAsia="宋体" w:cs="宋体"/>
          <w:sz w:val="28"/>
          <w:szCs w:val="28"/>
        </w:rPr>
      </w:pPr>
      <w:r>
        <w:rPr>
          <w:rFonts w:hint="eastAsia" w:ascii="宋体" w:hAnsi="宋体" w:eastAsia="宋体" w:cs="宋体"/>
        </w:rPr>
        <w:t>第</w:t>
      </w:r>
      <w:r>
        <w:rPr>
          <w:rFonts w:hint="eastAsia" w:ascii="宋体" w:hAnsi="宋体" w:eastAsia="宋体" w:cs="宋体"/>
          <w:lang w:eastAsia="zh-CN"/>
        </w:rPr>
        <w:t>二</w:t>
      </w:r>
      <w:r>
        <w:rPr>
          <w:rFonts w:hint="eastAsia" w:ascii="宋体" w:hAnsi="宋体" w:eastAsia="宋体" w:cs="宋体"/>
        </w:rPr>
        <w:t>篇 项目商务要求</w:t>
      </w:r>
      <w:bookmarkEnd w:id="111"/>
      <w:bookmarkEnd w:id="112"/>
      <w:bookmarkStart w:id="114" w:name="_Toc505608529"/>
    </w:p>
    <w:bookmarkEnd w:id="113"/>
    <w:bookmarkEnd w:id="114"/>
    <w:p>
      <w:pPr>
        <w:pStyle w:val="4"/>
        <w:spacing w:line="360" w:lineRule="auto"/>
      </w:pPr>
      <w:bookmarkStart w:id="115" w:name="_Toc75252317"/>
      <w:r>
        <w:rPr>
          <w:rFonts w:hint="eastAsia"/>
        </w:rPr>
        <w:t>一、交货期、交货地点及验收方式</w:t>
      </w:r>
      <w:bookmarkEnd w:id="115"/>
    </w:p>
    <w:p>
      <w:pPr>
        <w:snapToGrid w:val="0"/>
        <w:spacing w:line="276" w:lineRule="auto"/>
        <w:ind w:firstLine="480" w:firstLineChars="200"/>
        <w:rPr>
          <w:sz w:val="24"/>
        </w:rPr>
      </w:pPr>
      <w:r>
        <w:rPr>
          <w:rFonts w:hint="eastAsia"/>
          <w:sz w:val="24"/>
        </w:rPr>
        <w:t>1.1交货期</w:t>
      </w:r>
    </w:p>
    <w:p>
      <w:pPr>
        <w:snapToGrid w:val="0"/>
        <w:spacing w:line="276" w:lineRule="auto"/>
        <w:ind w:firstLine="480" w:firstLineChars="200"/>
        <w:rPr>
          <w:sz w:val="24"/>
        </w:rPr>
      </w:pPr>
      <w:r>
        <w:rPr>
          <w:rFonts w:hint="eastAsia"/>
          <w:sz w:val="24"/>
        </w:rPr>
        <w:t>中标人应在采购合同签订后90个日历日内交货并完成安装调试。</w:t>
      </w:r>
    </w:p>
    <w:p>
      <w:pPr>
        <w:snapToGrid w:val="0"/>
        <w:spacing w:line="276" w:lineRule="auto"/>
        <w:ind w:firstLine="480" w:firstLineChars="200"/>
        <w:rPr>
          <w:sz w:val="24"/>
        </w:rPr>
      </w:pPr>
      <w:r>
        <w:rPr>
          <w:rFonts w:hint="eastAsia"/>
          <w:sz w:val="24"/>
        </w:rPr>
        <w:t>1.2交货地点</w:t>
      </w:r>
    </w:p>
    <w:p>
      <w:pPr>
        <w:snapToGrid w:val="0"/>
        <w:spacing w:line="276" w:lineRule="auto"/>
        <w:ind w:firstLine="480" w:firstLineChars="200"/>
        <w:rPr>
          <w:sz w:val="24"/>
        </w:rPr>
      </w:pPr>
      <w:r>
        <w:rPr>
          <w:rFonts w:hint="eastAsia"/>
          <w:sz w:val="24"/>
        </w:rPr>
        <w:t>交货地点：采购人指定地点。</w:t>
      </w:r>
    </w:p>
    <w:p>
      <w:pPr>
        <w:snapToGrid w:val="0"/>
        <w:spacing w:line="276" w:lineRule="auto"/>
        <w:ind w:firstLine="480" w:firstLineChars="200"/>
        <w:rPr>
          <w:sz w:val="24"/>
        </w:rPr>
      </w:pPr>
      <w:r>
        <w:rPr>
          <w:rFonts w:hint="eastAsia"/>
          <w:sz w:val="24"/>
        </w:rPr>
        <w:t>1.3验收方式</w:t>
      </w:r>
    </w:p>
    <w:p>
      <w:pPr>
        <w:snapToGrid w:val="0"/>
        <w:spacing w:line="276" w:lineRule="auto"/>
        <w:ind w:firstLine="480" w:firstLineChars="200"/>
        <w:rPr>
          <w:sz w:val="24"/>
        </w:rPr>
      </w:pPr>
      <w:r>
        <w:rPr>
          <w:rFonts w:hint="eastAsia"/>
          <w:sz w:val="24"/>
        </w:rPr>
        <w:t>1.3.1.货物到达现场后，中标人应在使用单位人员在场情况下当面开箱，共同清点、检查外观，作出开箱记录，双方签字确认。</w:t>
      </w:r>
    </w:p>
    <w:p>
      <w:pPr>
        <w:snapToGrid w:val="0"/>
        <w:spacing w:line="276" w:lineRule="auto"/>
        <w:ind w:firstLine="480" w:firstLineChars="200"/>
        <w:rPr>
          <w:sz w:val="24"/>
        </w:rPr>
      </w:pPr>
      <w:r>
        <w:rPr>
          <w:rFonts w:hint="eastAsia"/>
          <w:sz w:val="24"/>
        </w:rPr>
        <w:t>1.3.2.中标人应保证货物到达采购人所在地完好无损，如有缺漏、损坏，由投标人负责调换、补齐或赔偿。</w:t>
      </w:r>
    </w:p>
    <w:p>
      <w:pPr>
        <w:snapToGrid w:val="0"/>
        <w:spacing w:line="276" w:lineRule="auto"/>
        <w:ind w:firstLine="480" w:firstLineChars="200"/>
        <w:rPr>
          <w:sz w:val="24"/>
        </w:rPr>
      </w:pPr>
      <w:r>
        <w:rPr>
          <w:rFonts w:hint="eastAsia"/>
          <w:sz w:val="24"/>
        </w:rPr>
        <w:t>1.3.3.中标人应提供完备的技术资料、装箱单和合格证等，并派遣专业技术人员进行现场安装调试。验收合格条件如下：</w:t>
      </w:r>
    </w:p>
    <w:p>
      <w:pPr>
        <w:snapToGrid w:val="0"/>
        <w:spacing w:line="400" w:lineRule="exact"/>
        <w:ind w:firstLine="480" w:firstLineChars="200"/>
        <w:rPr>
          <w:sz w:val="24"/>
        </w:rPr>
      </w:pPr>
      <w:r>
        <w:rPr>
          <w:rFonts w:hint="eastAsia"/>
          <w:sz w:val="24"/>
        </w:rPr>
        <w:t>1.3.3.1设备技术参数与采购合同一致，性能指标达到规定的标准。</w:t>
      </w:r>
    </w:p>
    <w:p>
      <w:pPr>
        <w:snapToGrid w:val="0"/>
        <w:spacing w:line="400" w:lineRule="exact"/>
        <w:ind w:firstLine="480" w:firstLineChars="200"/>
        <w:rPr>
          <w:sz w:val="24"/>
        </w:rPr>
      </w:pPr>
      <w:r>
        <w:rPr>
          <w:rFonts w:hint="eastAsia"/>
          <w:sz w:val="24"/>
        </w:rPr>
        <w:t>1.3.3.2货物技术资料、装箱单、合格证等资料齐全。</w:t>
      </w:r>
    </w:p>
    <w:p>
      <w:pPr>
        <w:snapToGrid w:val="0"/>
        <w:spacing w:line="400" w:lineRule="exact"/>
        <w:ind w:firstLine="480" w:firstLineChars="200"/>
        <w:rPr>
          <w:sz w:val="24"/>
        </w:rPr>
      </w:pPr>
      <w:r>
        <w:rPr>
          <w:rFonts w:hint="eastAsia"/>
          <w:sz w:val="24"/>
        </w:rPr>
        <w:t>1.3.3.3在系统试运行期间所出现的问题得到解决，并运行正常。</w:t>
      </w:r>
    </w:p>
    <w:p>
      <w:pPr>
        <w:snapToGrid w:val="0"/>
        <w:spacing w:line="400" w:lineRule="exact"/>
        <w:ind w:firstLine="480" w:firstLineChars="200"/>
        <w:rPr>
          <w:sz w:val="24"/>
        </w:rPr>
      </w:pPr>
      <w:r>
        <w:rPr>
          <w:rFonts w:hint="eastAsia"/>
          <w:sz w:val="24"/>
        </w:rPr>
        <w:t>1.3.3.4在规定时间内完成交货并验收，并经采购人确认。</w:t>
      </w:r>
    </w:p>
    <w:p>
      <w:pPr>
        <w:snapToGrid w:val="0"/>
        <w:spacing w:line="400" w:lineRule="exact"/>
        <w:ind w:firstLine="480" w:firstLineChars="200"/>
        <w:rPr>
          <w:sz w:val="24"/>
        </w:rPr>
      </w:pPr>
      <w:r>
        <w:rPr>
          <w:rFonts w:hint="eastAsia"/>
          <w:sz w:val="24"/>
        </w:rPr>
        <w:t>1.4.产品在安装调试并试运行符合要求后，才作为最终验收。</w:t>
      </w:r>
    </w:p>
    <w:p>
      <w:pPr>
        <w:snapToGrid w:val="0"/>
        <w:spacing w:line="400" w:lineRule="exact"/>
        <w:ind w:firstLine="480" w:firstLineChars="200"/>
        <w:rPr>
          <w:sz w:val="24"/>
        </w:rPr>
      </w:pPr>
      <w:r>
        <w:rPr>
          <w:rFonts w:hint="eastAsia"/>
          <w:sz w:val="24"/>
        </w:rPr>
        <w:t>1.5.投标人提供的货物未达到招标文件规定要求，且对采购人造成损失的，由投标人承担一切责任，并赔偿所造成的损失。</w:t>
      </w:r>
    </w:p>
    <w:p>
      <w:pPr>
        <w:snapToGrid w:val="0"/>
        <w:spacing w:line="400" w:lineRule="exact"/>
        <w:ind w:firstLine="480" w:firstLineChars="200"/>
        <w:rPr>
          <w:sz w:val="24"/>
        </w:rPr>
      </w:pPr>
      <w:r>
        <w:rPr>
          <w:rFonts w:hint="eastAsia"/>
          <w:sz w:val="24"/>
        </w:rPr>
        <w:t>1.6.采购人需要制造商对中标人交付的产品（包括质量、技术参数等）进行确认的，制造商应予以配合，并出具书面意见。</w:t>
      </w:r>
    </w:p>
    <w:p>
      <w:pPr>
        <w:snapToGrid w:val="0"/>
        <w:spacing w:line="400" w:lineRule="exact"/>
        <w:ind w:firstLine="480" w:firstLineChars="200"/>
        <w:rPr>
          <w:sz w:val="24"/>
        </w:rPr>
      </w:pPr>
      <w:r>
        <w:rPr>
          <w:rFonts w:hint="eastAsia"/>
          <w:sz w:val="24"/>
        </w:rPr>
        <w:t>1.7.产品包装材料由投标方自行处置。</w:t>
      </w:r>
    </w:p>
    <w:p>
      <w:pPr>
        <w:snapToGrid w:val="0"/>
        <w:spacing w:line="400" w:lineRule="exact"/>
        <w:ind w:firstLine="480" w:firstLineChars="200"/>
        <w:rPr>
          <w:sz w:val="24"/>
        </w:rPr>
      </w:pPr>
      <w:r>
        <w:rPr>
          <w:rFonts w:hint="eastAsia"/>
          <w:sz w:val="24"/>
        </w:rPr>
        <w:t>1.</w:t>
      </w:r>
      <w:r>
        <w:rPr>
          <w:sz w:val="24"/>
        </w:rPr>
        <w:t>8</w:t>
      </w:r>
      <w:r>
        <w:rPr>
          <w:rFonts w:hint="eastAsia"/>
          <w:sz w:val="24"/>
        </w:rPr>
        <w:t>.投标人需提供承诺函承诺本次报价包含了医院H</w:t>
      </w:r>
      <w:r>
        <w:rPr>
          <w:sz w:val="24"/>
        </w:rPr>
        <w:t>IS</w:t>
      </w:r>
      <w:r>
        <w:rPr>
          <w:rFonts w:hint="eastAsia"/>
          <w:sz w:val="24"/>
        </w:rPr>
        <w:t>系统所需接口费用，医院无需单独再支付相关接口费用。</w:t>
      </w:r>
    </w:p>
    <w:p>
      <w:pPr>
        <w:pStyle w:val="2"/>
      </w:pPr>
    </w:p>
    <w:p>
      <w:pPr>
        <w:pStyle w:val="4"/>
      </w:pPr>
      <w:bookmarkStart w:id="116" w:name="_Toc75252318"/>
      <w:bookmarkStart w:id="117" w:name="_Toc505608530"/>
      <w:bookmarkStart w:id="118" w:name="_Toc267320050"/>
      <w:r>
        <w:rPr>
          <w:rFonts w:hint="eastAsia"/>
        </w:rPr>
        <w:t>二、报价要求</w:t>
      </w:r>
      <w:bookmarkEnd w:id="116"/>
      <w:bookmarkEnd w:id="117"/>
    </w:p>
    <w:p>
      <w:pPr>
        <w:snapToGrid w:val="0"/>
        <w:spacing w:line="400" w:lineRule="exact"/>
        <w:ind w:firstLine="480" w:firstLineChars="200"/>
        <w:rPr>
          <w:sz w:val="24"/>
        </w:rPr>
      </w:pPr>
      <w:bookmarkStart w:id="119" w:name="_Toc505608531"/>
      <w:r>
        <w:rPr>
          <w:rFonts w:hint="eastAsia"/>
          <w:sz w:val="24"/>
        </w:rPr>
        <w:t>2.1. 本次报价须为人民币报价，包含：产品价、运输费（含装卸费）、保险费、安装费、调试费、售后服务费、税费、培训费与其他施工单位的配合费（包括： HIS系统、电子病历系统），货到采购人指定地点安装调试完成，达到正常使用的所有费用。</w:t>
      </w:r>
    </w:p>
    <w:p>
      <w:pPr>
        <w:pStyle w:val="4"/>
      </w:pPr>
      <w:bookmarkStart w:id="120" w:name="_Toc75252319"/>
      <w:r>
        <w:rPr>
          <w:rFonts w:hint="eastAsia"/>
        </w:rPr>
        <w:t>三、质量保证及售后服务</w:t>
      </w:r>
      <w:bookmarkEnd w:id="118"/>
      <w:bookmarkEnd w:id="119"/>
      <w:bookmarkEnd w:id="120"/>
    </w:p>
    <w:p>
      <w:pPr>
        <w:snapToGrid w:val="0"/>
        <w:spacing w:line="400" w:lineRule="exact"/>
        <w:ind w:firstLine="482" w:firstLineChars="200"/>
        <w:rPr>
          <w:b/>
          <w:sz w:val="24"/>
        </w:rPr>
      </w:pPr>
      <w:r>
        <w:rPr>
          <w:rFonts w:hint="eastAsia"/>
          <w:b/>
          <w:sz w:val="24"/>
        </w:rPr>
        <w:t>3.1产品质量保证期</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1.投标人应明确承诺：其投标产品质量保证期达到</w:t>
      </w:r>
      <w:r>
        <w:rPr>
          <w:rFonts w:hint="eastAsia" w:hAnsi="宋体" w:cs="宋体"/>
          <w:sz w:val="24"/>
          <w:szCs w:val="24"/>
          <w:u w:val="single"/>
        </w:rPr>
        <w:t xml:space="preserve">  </w:t>
      </w:r>
      <w:r>
        <w:rPr>
          <w:rFonts w:hAnsi="宋体" w:cs="宋体"/>
          <w:b/>
          <w:bCs/>
          <w:sz w:val="24"/>
          <w:szCs w:val="24"/>
          <w:u w:val="single"/>
        </w:rPr>
        <w:t>3</w:t>
      </w:r>
      <w:r>
        <w:rPr>
          <w:rFonts w:hint="eastAsia" w:hAnsi="宋体" w:cs="宋体"/>
          <w:sz w:val="24"/>
          <w:szCs w:val="24"/>
          <w:u w:val="single"/>
        </w:rPr>
        <w:t xml:space="preserve">  </w:t>
      </w:r>
      <w:r>
        <w:rPr>
          <w:rFonts w:hint="eastAsia" w:hAnsi="宋体" w:cs="宋体"/>
          <w:sz w:val="24"/>
          <w:szCs w:val="24"/>
        </w:rPr>
        <w:t>年（所有产品）。</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2.投标产品属于国家规定“三包”范围的，其产品质量保证期不得低于“三包”规定。</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3.投标人的质量保证期承诺优于国家“三包”规定的，按投标人实际承诺执行。</w:t>
      </w:r>
    </w:p>
    <w:p>
      <w:pPr>
        <w:snapToGrid w:val="0"/>
        <w:spacing w:line="360" w:lineRule="auto"/>
        <w:ind w:firstLine="480" w:firstLineChars="200"/>
        <w:rPr>
          <w:rFonts w:hAnsi="宋体" w:cs="宋体"/>
          <w:sz w:val="24"/>
          <w:szCs w:val="24"/>
        </w:rPr>
      </w:pPr>
      <w:r>
        <w:rPr>
          <w:rFonts w:hint="eastAsia"/>
          <w:sz w:val="24"/>
        </w:rPr>
        <w:t>3.1.</w:t>
      </w:r>
      <w:r>
        <w:rPr>
          <w:rFonts w:hint="eastAsia" w:hAnsi="宋体" w:cs="宋体"/>
          <w:sz w:val="24"/>
          <w:szCs w:val="24"/>
        </w:rPr>
        <w:t>4.投标产品由制造商（指产品生产制造商，或其负责销售、售后服务机构，以下同）负责标准售后服务的，应当在投标文件中予以明确说明,并附制造商售后服务承诺。</w:t>
      </w:r>
    </w:p>
    <w:p>
      <w:pPr>
        <w:snapToGrid w:val="0"/>
        <w:spacing w:line="400" w:lineRule="exact"/>
        <w:ind w:firstLine="482" w:firstLineChars="200"/>
        <w:rPr>
          <w:b/>
          <w:sz w:val="24"/>
        </w:rPr>
      </w:pPr>
      <w:r>
        <w:rPr>
          <w:rFonts w:hint="eastAsia"/>
          <w:b/>
          <w:sz w:val="24"/>
        </w:rPr>
        <w:t>3.2.售后服务内容</w:t>
      </w:r>
    </w:p>
    <w:p>
      <w:pPr>
        <w:snapToGrid w:val="0"/>
        <w:spacing w:line="400" w:lineRule="exact"/>
        <w:ind w:firstLine="480" w:firstLineChars="200"/>
        <w:rPr>
          <w:sz w:val="24"/>
        </w:rPr>
      </w:pPr>
      <w:r>
        <w:rPr>
          <w:rFonts w:hint="eastAsia"/>
          <w:sz w:val="24"/>
        </w:rPr>
        <w:t>3.2.1.投标人和制造商在质量保证期内应当为采购人提供以下技术支持和服务：</w:t>
      </w:r>
    </w:p>
    <w:p>
      <w:pPr>
        <w:snapToGrid w:val="0"/>
        <w:spacing w:line="400" w:lineRule="exact"/>
        <w:ind w:firstLine="480" w:firstLineChars="200"/>
        <w:rPr>
          <w:sz w:val="24"/>
        </w:rPr>
      </w:pPr>
      <w:r>
        <w:rPr>
          <w:rFonts w:hint="eastAsia"/>
          <w:sz w:val="24"/>
        </w:rPr>
        <w:t>3.2.1.1电话咨询</w:t>
      </w:r>
    </w:p>
    <w:p>
      <w:pPr>
        <w:snapToGrid w:val="0"/>
        <w:spacing w:line="400" w:lineRule="exact"/>
        <w:ind w:firstLine="480" w:firstLineChars="200"/>
        <w:rPr>
          <w:sz w:val="24"/>
        </w:rPr>
      </w:pPr>
      <w:r>
        <w:rPr>
          <w:rFonts w:hint="eastAsia"/>
          <w:sz w:val="24"/>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rPr>
      </w:pPr>
      <w:r>
        <w:rPr>
          <w:rFonts w:hint="eastAsia"/>
          <w:sz w:val="24"/>
        </w:rPr>
        <w:t>3.2.1.2现场响应</w:t>
      </w:r>
    </w:p>
    <w:p>
      <w:pPr>
        <w:snapToGrid w:val="0"/>
        <w:spacing w:line="400" w:lineRule="exact"/>
        <w:ind w:firstLine="480" w:firstLineChars="200"/>
        <w:rPr>
          <w:sz w:val="24"/>
        </w:rPr>
      </w:pPr>
      <w:r>
        <w:rPr>
          <w:rFonts w:hint="eastAsia"/>
          <w:sz w:val="24"/>
        </w:rPr>
        <w:t>采购人遇到使用及技术问题，电话咨询不能解决的，中标人和制造商应在4小时内到达现场（远郊区8小时内到达现场）进行处理，确保产品正常工作；无法在24小时内解决的，应在48小时内提供备用产品，使采购人能够正常使用。</w:t>
      </w:r>
    </w:p>
    <w:p>
      <w:pPr>
        <w:snapToGrid w:val="0"/>
        <w:spacing w:line="400" w:lineRule="exact"/>
        <w:ind w:firstLine="480" w:firstLineChars="200"/>
        <w:rPr>
          <w:sz w:val="24"/>
        </w:rPr>
      </w:pPr>
      <w:r>
        <w:rPr>
          <w:rFonts w:hint="eastAsia"/>
          <w:sz w:val="24"/>
        </w:rPr>
        <w:t>3.2.1.3技术升级</w:t>
      </w:r>
    </w:p>
    <w:p>
      <w:pPr>
        <w:snapToGrid w:val="0"/>
        <w:spacing w:line="400" w:lineRule="exact"/>
        <w:ind w:firstLine="480" w:firstLineChars="200"/>
        <w:rPr>
          <w:sz w:val="24"/>
        </w:rPr>
      </w:pPr>
      <w:r>
        <w:rPr>
          <w:rFonts w:hint="eastAsia"/>
          <w:sz w:val="24"/>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rPr>
      </w:pPr>
      <w:r>
        <w:rPr>
          <w:sz w:val="24"/>
        </w:rPr>
        <w:t>3.2.1.4</w:t>
      </w:r>
      <w:r>
        <w:rPr>
          <w:rFonts w:hint="eastAsia"/>
          <w:sz w:val="24"/>
        </w:rPr>
        <w:t>其它服务</w:t>
      </w:r>
    </w:p>
    <w:p>
      <w:pPr>
        <w:snapToGrid w:val="0"/>
        <w:spacing w:line="400" w:lineRule="exact"/>
        <w:ind w:firstLine="480" w:firstLineChars="200"/>
        <w:rPr>
          <w:sz w:val="24"/>
        </w:rPr>
      </w:pPr>
      <w:r>
        <w:rPr>
          <w:rFonts w:hint="eastAsia"/>
          <w:sz w:val="24"/>
        </w:rPr>
        <w:t>在质保期内,如采购人因HIS系统变更需中标产品配合调整接口、流程，中标人和制造商应免费进行服务。</w:t>
      </w:r>
    </w:p>
    <w:p>
      <w:pPr>
        <w:snapToGrid w:val="0"/>
        <w:spacing w:line="400" w:lineRule="exact"/>
        <w:ind w:firstLine="480" w:firstLineChars="200"/>
        <w:rPr>
          <w:sz w:val="24"/>
        </w:rPr>
      </w:pPr>
      <w:r>
        <w:rPr>
          <w:rFonts w:hint="eastAsia"/>
          <w:sz w:val="24"/>
        </w:rPr>
        <w:t>3.2.2质保期外服务要求</w:t>
      </w:r>
    </w:p>
    <w:p>
      <w:pPr>
        <w:snapToGrid w:val="0"/>
        <w:spacing w:line="400" w:lineRule="exact"/>
        <w:ind w:firstLine="480" w:firstLineChars="200"/>
        <w:rPr>
          <w:sz w:val="24"/>
        </w:rPr>
      </w:pPr>
      <w:r>
        <w:rPr>
          <w:rFonts w:hint="eastAsia"/>
          <w:sz w:val="24"/>
        </w:rPr>
        <w:t>（1）质量保证期过后，供应商和制造商应同样提供免费电话咨询服务，并应承诺提供产品上门维护服务。</w:t>
      </w:r>
    </w:p>
    <w:p>
      <w:pPr>
        <w:snapToGrid w:val="0"/>
        <w:spacing w:line="400" w:lineRule="exact"/>
        <w:ind w:firstLine="480" w:firstLineChars="200"/>
        <w:rPr>
          <w:sz w:val="24"/>
        </w:rPr>
      </w:pPr>
      <w:r>
        <w:rPr>
          <w:rFonts w:hint="eastAsia"/>
          <w:sz w:val="24"/>
        </w:rPr>
        <w:t>（2）质量保证期过后，采购人需要继续由原供应商和制造商提供售后服务的，该供应商和制造商应以优惠价格提供售后服务,在年服务费不得高于成交价的</w:t>
      </w:r>
      <w:r>
        <w:rPr>
          <w:b/>
          <w:bCs/>
          <w:sz w:val="24"/>
        </w:rPr>
        <w:t>6</w:t>
      </w:r>
      <w:r>
        <w:rPr>
          <w:rFonts w:hint="eastAsia"/>
          <w:b/>
          <w:bCs/>
          <w:sz w:val="24"/>
        </w:rPr>
        <w:t>%</w:t>
      </w:r>
      <w:r>
        <w:rPr>
          <w:rFonts w:hint="eastAsia"/>
          <w:sz w:val="24"/>
        </w:rPr>
        <w:t>的前提下与甲方另行协商售后服务价格，提供售后服务。</w:t>
      </w:r>
    </w:p>
    <w:p>
      <w:pPr>
        <w:snapToGrid w:val="0"/>
        <w:spacing w:line="400" w:lineRule="exact"/>
        <w:ind w:firstLine="480" w:firstLineChars="200"/>
        <w:rPr>
          <w:sz w:val="24"/>
        </w:rPr>
      </w:pPr>
      <w:r>
        <w:rPr>
          <w:sz w:val="24"/>
        </w:rPr>
        <w:t>3.2.3</w:t>
      </w:r>
      <w:r>
        <w:rPr>
          <w:rFonts w:hint="eastAsia"/>
          <w:sz w:val="24"/>
        </w:rPr>
        <w:t>验收后新增接口费用规定：新增接口的费用，不超过三万每个，</w:t>
      </w:r>
      <w:r>
        <w:rPr>
          <w:sz w:val="24"/>
        </w:rPr>
        <w:t>具体金额</w:t>
      </w:r>
      <w:r>
        <w:rPr>
          <w:rFonts w:hint="eastAsia"/>
          <w:sz w:val="24"/>
        </w:rPr>
        <w:t>双方</w:t>
      </w:r>
      <w:r>
        <w:rPr>
          <w:sz w:val="24"/>
        </w:rPr>
        <w:t>协商</w:t>
      </w:r>
      <w:r>
        <w:rPr>
          <w:rFonts w:hint="eastAsia"/>
          <w:sz w:val="24"/>
        </w:rPr>
        <w:t>，但视图免费。</w:t>
      </w:r>
    </w:p>
    <w:p>
      <w:pPr>
        <w:pStyle w:val="4"/>
      </w:pPr>
      <w:bookmarkStart w:id="121" w:name="_Toc505608532"/>
      <w:bookmarkStart w:id="122" w:name="_Toc267320051"/>
      <w:bookmarkStart w:id="123" w:name="_Toc75252320"/>
      <w:r>
        <w:rPr>
          <w:rFonts w:hint="eastAsia"/>
        </w:rPr>
        <w:t>四、付款方式</w:t>
      </w:r>
      <w:bookmarkEnd w:id="121"/>
      <w:bookmarkEnd w:id="122"/>
      <w:bookmarkEnd w:id="123"/>
    </w:p>
    <w:p>
      <w:pPr>
        <w:snapToGrid w:val="0"/>
        <w:spacing w:line="400" w:lineRule="exact"/>
        <w:ind w:firstLine="480" w:firstLineChars="200"/>
        <w:rPr>
          <w:rFonts w:hint="eastAsia"/>
          <w:sz w:val="24"/>
          <w:lang w:val="en-US" w:eastAsia="zh-CN"/>
        </w:rPr>
      </w:pPr>
      <w:bookmarkStart w:id="124" w:name="_Toc505608533"/>
      <w:bookmarkStart w:id="125" w:name="_Toc267320052"/>
      <w:r>
        <w:rPr>
          <w:rFonts w:hint="eastAsia"/>
          <w:sz w:val="24"/>
          <w:lang w:val="en-US" w:eastAsia="zh-CN"/>
        </w:rPr>
        <w:t>1.</w:t>
      </w:r>
      <w:r>
        <w:rPr>
          <w:rFonts w:hint="eastAsia"/>
          <w:sz w:val="24"/>
          <w:lang w:eastAsia="zh-CN"/>
        </w:rPr>
        <w:t>中标通知发出后</w:t>
      </w:r>
      <w:r>
        <w:rPr>
          <w:rFonts w:hint="eastAsia"/>
          <w:sz w:val="24"/>
          <w:lang w:val="en-US" w:eastAsia="zh-CN"/>
        </w:rPr>
        <w:t>5个工作日内，中标人向采购人支付合同金额5%的履约保证金。</w:t>
      </w:r>
    </w:p>
    <w:p>
      <w:pPr>
        <w:snapToGrid w:val="0"/>
        <w:spacing w:line="400" w:lineRule="exact"/>
        <w:ind w:firstLine="480" w:firstLineChars="200"/>
        <w:rPr>
          <w:rFonts w:hint="eastAsia"/>
          <w:sz w:val="24"/>
          <w:lang w:eastAsia="zh-CN"/>
        </w:rPr>
      </w:pPr>
      <w:r>
        <w:rPr>
          <w:rFonts w:hint="eastAsia"/>
          <w:sz w:val="24"/>
          <w:lang w:val="en-US" w:eastAsia="zh-CN"/>
        </w:rPr>
        <w:t>2.</w:t>
      </w:r>
      <w:r>
        <w:rPr>
          <w:rFonts w:hint="eastAsia"/>
          <w:sz w:val="24"/>
        </w:rPr>
        <w:t>项目验收合格后，15个工作日内采购人向中标人支付合同金额</w:t>
      </w:r>
      <w:r>
        <w:rPr>
          <w:sz w:val="24"/>
        </w:rPr>
        <w:t>95</w:t>
      </w:r>
      <w:r>
        <w:rPr>
          <w:rFonts w:hint="eastAsia"/>
          <w:sz w:val="24"/>
        </w:rPr>
        <w:t>%的合同款；</w:t>
      </w:r>
      <w:r>
        <w:rPr>
          <w:rFonts w:hint="eastAsia"/>
          <w:sz w:val="24"/>
          <w:lang w:eastAsia="zh-CN"/>
        </w:rPr>
        <w:t>采购人办理履约保证金退还手续。</w:t>
      </w:r>
    </w:p>
    <w:p>
      <w:pPr>
        <w:snapToGrid w:val="0"/>
        <w:spacing w:line="400" w:lineRule="exact"/>
        <w:ind w:firstLine="480" w:firstLineChars="200"/>
        <w:rPr>
          <w:sz w:val="24"/>
        </w:rPr>
      </w:pPr>
      <w:r>
        <w:rPr>
          <w:rFonts w:hint="eastAsia"/>
          <w:sz w:val="24"/>
          <w:lang w:val="en-US" w:eastAsia="zh-CN"/>
        </w:rPr>
        <w:t>3.</w:t>
      </w:r>
      <w:r>
        <w:rPr>
          <w:rFonts w:hint="eastAsia"/>
          <w:sz w:val="24"/>
        </w:rPr>
        <w:t>在质保期满后，无质量问题并满足合同条件后</w:t>
      </w:r>
      <w:r>
        <w:rPr>
          <w:sz w:val="24"/>
        </w:rPr>
        <w:t>15</w:t>
      </w:r>
      <w:r>
        <w:rPr>
          <w:rFonts w:hint="eastAsia"/>
          <w:sz w:val="24"/>
        </w:rPr>
        <w:t>个工作日内采购人向中标人支付合同</w:t>
      </w:r>
      <w:r>
        <w:rPr>
          <w:rFonts w:hint="eastAsia"/>
          <w:sz w:val="24"/>
          <w:lang w:eastAsia="zh-CN"/>
        </w:rPr>
        <w:t>尾款</w:t>
      </w:r>
      <w:r>
        <w:rPr>
          <w:rFonts w:hint="eastAsia"/>
          <w:sz w:val="24"/>
        </w:rPr>
        <w:t>。</w:t>
      </w:r>
    </w:p>
    <w:bookmarkEnd w:id="124"/>
    <w:bookmarkEnd w:id="125"/>
    <w:p>
      <w:pPr>
        <w:ind w:firstLine="424" w:firstLineChars="177"/>
        <w:rPr>
          <w:sz w:val="24"/>
          <w:szCs w:val="24"/>
        </w:rPr>
      </w:pPr>
    </w:p>
    <w:p>
      <w:pPr>
        <w:spacing w:line="360" w:lineRule="auto"/>
        <w:ind w:firstLine="360" w:firstLineChars="150"/>
        <w:rPr>
          <w:rFonts w:hAnsi="宋体" w:cs="方正仿宋_GBK"/>
          <w:sz w:val="24"/>
          <w:szCs w:val="24"/>
        </w:rPr>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7A518EC"/>
    <w:multiLevelType w:val="multilevel"/>
    <w:tmpl w:val="57A518E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lN2QzODVkNzUwMWY0MjBlNzVjZDNkNzZhMjI0NzgifQ=="/>
  </w:docVars>
  <w:rsids>
    <w:rsidRoot w:val="00340621"/>
    <w:rsid w:val="00157EBF"/>
    <w:rsid w:val="00166BE1"/>
    <w:rsid w:val="00340621"/>
    <w:rsid w:val="00A41824"/>
    <w:rsid w:val="00B50692"/>
    <w:rsid w:val="00F4338A"/>
    <w:rsid w:val="2E141EF5"/>
    <w:rsid w:val="318F3BCF"/>
    <w:rsid w:val="5430318F"/>
    <w:rsid w:val="554A01FF"/>
    <w:rsid w:val="705D5D3F"/>
    <w:rsid w:val="74A85E9F"/>
    <w:rsid w:val="7ADA370A"/>
    <w:rsid w:val="7C3C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3">
    <w:name w:val="heading 1"/>
    <w:basedOn w:val="1"/>
    <w:next w:val="1"/>
    <w:link w:val="15"/>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6"/>
    <w:qFormat/>
    <w:uiPriority w:val="0"/>
    <w:pPr>
      <w:keepNext/>
      <w:keepLines/>
      <w:jc w:val="left"/>
      <w:outlineLvl w:val="1"/>
    </w:pPr>
    <w:rPr>
      <w:rFonts w:ascii="Arial" w:hAnsi="Arial"/>
      <w:bCs/>
      <w:kern w:val="2"/>
      <w:sz w:val="28"/>
      <w:szCs w:val="32"/>
    </w:rPr>
  </w:style>
  <w:style w:type="paragraph" w:styleId="5">
    <w:name w:val="heading 3"/>
    <w:basedOn w:val="1"/>
    <w:next w:val="1"/>
    <w:qFormat/>
    <w:uiPriority w:val="0"/>
    <w:pPr>
      <w:keepNext/>
      <w:keepLines/>
      <w:spacing w:before="50" w:beforeLines="50"/>
      <w:outlineLvl w:val="2"/>
    </w:pPr>
    <w:rPr>
      <w:rFonts w:ascii="Times New Roman"/>
      <w:bCs/>
      <w:kern w:val="2"/>
      <w:sz w:val="24"/>
      <w:szCs w:val="32"/>
    </w:rPr>
  </w:style>
  <w:style w:type="paragraph" w:styleId="6">
    <w:name w:val="heading 4"/>
    <w:basedOn w:val="1"/>
    <w:next w:val="1"/>
    <w:qFormat/>
    <w:uiPriority w:val="0"/>
    <w:pPr>
      <w:keepNext/>
      <w:kinsoku w:val="0"/>
      <w:overflowPunct w:val="0"/>
      <w:autoSpaceDE w:val="0"/>
      <w:autoSpaceDN w:val="0"/>
      <w:adjustRightInd w:val="0"/>
      <w:snapToGrid w:val="0"/>
      <w:spacing w:line="360" w:lineRule="auto"/>
      <w:outlineLvl w:val="3"/>
    </w:pPr>
    <w:rPr>
      <w:rFonts w:hAnsi="宋体"/>
      <w:b/>
      <w:bCs/>
      <w:kern w:val="2"/>
      <w:sz w:val="24"/>
      <w:szCs w:val="24"/>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hAnsi="宋体"/>
      <w:b/>
      <w:sz w:val="24"/>
    </w:rPr>
  </w:style>
  <w:style w:type="paragraph" w:styleId="8">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bCs/>
      <w:kern w:val="2"/>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spacing w:after="120"/>
    </w:p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qFormat/>
    <w:uiPriority w:val="99"/>
    <w:rPr>
      <w:sz w:val="18"/>
      <w:szCs w:val="18"/>
    </w:rPr>
  </w:style>
  <w:style w:type="character" w:customStyle="1" w:styleId="15">
    <w:name w:val="标题 1 Char"/>
    <w:basedOn w:val="12"/>
    <w:link w:val="3"/>
    <w:qFormat/>
    <w:uiPriority w:val="0"/>
    <w:rPr>
      <w:rFonts w:ascii="Times New Roman" w:hAnsi="Times New Roman" w:eastAsia="仿宋" w:cs="Times New Roman"/>
      <w:b/>
      <w:bCs/>
      <w:kern w:val="44"/>
      <w:sz w:val="44"/>
      <w:szCs w:val="44"/>
    </w:rPr>
  </w:style>
  <w:style w:type="character" w:customStyle="1" w:styleId="16">
    <w:name w:val="标题 2 Char"/>
    <w:basedOn w:val="12"/>
    <w:link w:val="4"/>
    <w:qFormat/>
    <w:uiPriority w:val="0"/>
    <w:rPr>
      <w:rFonts w:ascii="Arial" w:hAnsi="Arial" w:eastAsia="宋体" w:cs="Times New Roman"/>
      <w:bCs/>
      <w:sz w:val="28"/>
      <w:szCs w:val="32"/>
    </w:rPr>
  </w:style>
  <w:style w:type="character" w:customStyle="1" w:styleId="17">
    <w:name w:val="正文文本 Char"/>
    <w:basedOn w:val="12"/>
    <w:link w:val="2"/>
    <w:qFormat/>
    <w:uiPriority w:val="0"/>
    <w:rPr>
      <w:rFonts w:ascii="宋体" w:hAnsi="Times New Roman" w:eastAsia="宋体" w:cs="Times New Roman"/>
      <w:kern w:val="0"/>
      <w:sz w:val="34"/>
      <w:szCs w:val="20"/>
    </w:rPr>
  </w:style>
  <w:style w:type="paragraph" w:styleId="18">
    <w:name w:val="List Paragraph"/>
    <w:basedOn w:val="1"/>
    <w:qFormat/>
    <w:uiPriority w:val="0"/>
    <w:pPr>
      <w:widowControl/>
      <w:ind w:left="720"/>
      <w:jc w:val="left"/>
    </w:pPr>
    <w:rPr>
      <w:rFonts w:ascii="Calibri" w:hAnsi="Calibri"/>
      <w:sz w:val="24"/>
      <w:lang w:eastAsia="en-US" w:bidi="en-US"/>
    </w:rPr>
  </w:style>
  <w:style w:type="paragraph" w:customStyle="1" w:styleId="19">
    <w:name w:val="正文样式"/>
    <w:basedOn w:val="1"/>
    <w:qFormat/>
    <w:uiPriority w:val="0"/>
    <w:pPr>
      <w:ind w:firstLine="200" w:firstLineChars="200"/>
    </w:pPr>
    <w:rPr>
      <w:rFonts w:ascii="Times New Roman"/>
      <w:kern w:val="2"/>
      <w:sz w:val="21"/>
      <w:szCs w:val="24"/>
    </w:rPr>
  </w:style>
  <w:style w:type="paragraph" w:customStyle="1" w:styleId="20">
    <w:name w:val="样式（本文所用）"/>
    <w:basedOn w:val="1"/>
    <w:qFormat/>
    <w:uiPriority w:val="0"/>
    <w:pPr>
      <w:spacing w:line="360" w:lineRule="auto"/>
      <w:ind w:firstLine="200" w:firstLineChars="200"/>
    </w:pPr>
    <w:rPr>
      <w:rFonts w:hAnsi="宋体" w:cs="宋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4488</Words>
  <Characters>4734</Characters>
  <Lines>42</Lines>
  <Paragraphs>11</Paragraphs>
  <TotalTime>0</TotalTime>
  <ScaleCrop>false</ScaleCrop>
  <LinksUpToDate>false</LinksUpToDate>
  <CharactersWithSpaces>4813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2022-12-28T01:26:00Z</dcterms:created>
  <dc:creator>Microsoft 帐户</dc:creator>
  <cp:lastModifiedBy>小陈Clam</cp:lastModifiedBy>
  <dcterms:modified xsi:type="dcterms:W3CDTF">2023-05-05T09:22:00Z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326A7A7D485641C9A6876D3F55882AE3</vt:lpwstr>
  </property>
</Properties>
</file>