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w:t>
      </w:r>
      <w:r>
        <w:rPr>
          <w:rFonts w:hint="eastAsia" w:cs="Tahoma" w:asciiTheme="minorEastAsia" w:hAnsiTheme="minorEastAsia"/>
          <w:b/>
          <w:color w:val="333333"/>
          <w:sz w:val="28"/>
          <w:szCs w:val="28"/>
          <w:highlight w:val="none"/>
          <w:shd w:val="clear" w:color="auto" w:fill="FFFFFF"/>
        </w:rPr>
        <w:t>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bookmarkStart w:id="3" w:name="_GoBack"/>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14</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20</w:t>
      </w:r>
      <w:r>
        <w:rPr>
          <w:rFonts w:hint="eastAsia" w:cs="Tahoma" w:asciiTheme="minorEastAsia" w:hAnsiTheme="minorEastAsia"/>
          <w:b/>
          <w:color w:val="333333"/>
          <w:sz w:val="28"/>
          <w:szCs w:val="28"/>
          <w:highlight w:val="none"/>
          <w:shd w:val="clear" w:color="auto" w:fill="FFFFFF"/>
        </w:rPr>
        <w:t>日</w:t>
      </w:r>
      <w:r>
        <w:rPr>
          <w:rFonts w:hint="eastAsia" w:cs="Tahoma" w:asciiTheme="minorEastAsia" w:hAnsiTheme="minorEastAsia"/>
          <w:b/>
          <w:color w:val="333333"/>
          <w:sz w:val="28"/>
          <w:szCs w:val="28"/>
          <w:highlight w:val="none"/>
          <w:shd w:val="clear" w:color="auto" w:fill="FFFFFF"/>
        </w:rPr>
        <w:t>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郑</w:t>
      </w:r>
      <w:r>
        <w:rPr>
          <w:rFonts w:hint="eastAsia" w:cs="Tahoma" w:asciiTheme="minorEastAsia" w:hAnsiTheme="minorEastAsia"/>
          <w:b/>
          <w:color w:val="333333"/>
          <w:sz w:val="28"/>
          <w:szCs w:val="28"/>
          <w:highlight w:val="none"/>
          <w:shd w:val="clear" w:color="auto" w:fill="FFFFFF"/>
        </w:rPr>
        <w:t>老师</w:t>
      </w:r>
      <w:r>
        <w:rPr>
          <w:rFonts w:hint="eastAsia" w:cs="Tahoma" w:asciiTheme="minorEastAsia" w:hAnsiTheme="minorEastAsia"/>
          <w:b/>
          <w:color w:val="333333"/>
          <w:sz w:val="28"/>
          <w:szCs w:val="28"/>
          <w:highlight w:val="none"/>
          <w:shd w:val="clear" w:color="auto" w:fill="FFFFFF"/>
          <w:lang w:val="en-US" w:eastAsia="zh-CN"/>
        </w:rPr>
        <w:t>15086902693</w:t>
      </w:r>
      <w:r>
        <w:rPr>
          <w:rFonts w:hint="eastAsia" w:cs="Tahoma" w:asciiTheme="minorEastAsia" w:hAnsiTheme="minorEastAsia"/>
          <w:b/>
          <w:color w:val="333333"/>
          <w:sz w:val="28"/>
          <w:szCs w:val="28"/>
          <w:highlight w:val="none"/>
          <w:shd w:val="clear" w:color="auto" w:fill="FFFFFF"/>
        </w:rPr>
        <w:t>。</w:t>
      </w:r>
    </w:p>
    <w:bookmarkEnd w:id="3"/>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北部院区机房模块化UPS电源</w:t>
      </w:r>
      <w:r>
        <w:rPr>
          <w:rFonts w:hint="eastAsia" w:ascii="Calibri" w:hAnsi="Calibri" w:eastAsia="宋体" w:cs="Times New Roman"/>
          <w:b/>
          <w:color w:val="000000"/>
          <w:sz w:val="28"/>
          <w:szCs w:val="28"/>
        </w:rPr>
        <w:t>采购项目</w:t>
      </w:r>
    </w:p>
    <w:tbl>
      <w:tblPr>
        <w:tblStyle w:val="1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eastAsia" w:ascii="宋体" w:hAnsi="宋体" w:eastAsia="宋体" w:cs="宋体"/>
                <w:sz w:val="24"/>
                <w:szCs w:val="24"/>
                <w:lang w:eastAsia="zh-CN"/>
              </w:rPr>
            </w:pPr>
            <w:r>
              <w:rPr>
                <w:rFonts w:hint="eastAsia" w:ascii="宋体" w:hAnsi="宋体" w:eastAsia="宋体" w:cs="宋体"/>
                <w:sz w:val="24"/>
                <w:szCs w:val="24"/>
              </w:rPr>
              <w:t>报价：总价      元（</w:t>
            </w:r>
            <w:r>
              <w:rPr>
                <w:rFonts w:hint="eastAsia" w:ascii="宋体" w:hAnsi="宋体" w:eastAsia="宋体" w:cs="宋体"/>
                <w:sz w:val="24"/>
                <w:szCs w:val="24"/>
                <w:lang w:eastAsia="zh-CN"/>
              </w:rPr>
              <w:t>附分项报价明细表</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质保</w:t>
            </w:r>
            <w:r>
              <w:rPr>
                <w:rFonts w:hint="eastAsia" w:ascii="宋体" w:hAnsi="宋体" w:eastAsia="宋体" w:cs="宋体"/>
                <w:sz w:val="24"/>
                <w:szCs w:val="24"/>
              </w:rPr>
              <w:t xml:space="preserve">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报价要求具体见附件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项目要求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见附件</w:t>
            </w:r>
          </w:p>
        </w:tc>
        <w:tc>
          <w:tcPr>
            <w:tcW w:w="1701" w:type="dxa"/>
          </w:tcPr>
          <w:p>
            <w:pPr>
              <w:spacing w:line="276" w:lineRule="auto"/>
              <w:jc w:val="center"/>
              <w:rPr>
                <w:rFonts w:hint="eastAsia" w:ascii="宋体" w:hAnsi="宋体" w:eastAsia="宋体" w:cs="宋体"/>
                <w:sz w:val="24"/>
                <w:szCs w:val="24"/>
              </w:rPr>
            </w:pPr>
          </w:p>
        </w:tc>
      </w:tr>
    </w:tbl>
    <w:p>
      <w:pPr>
        <w:jc w:val="left"/>
        <w:rPr>
          <w:b/>
          <w:color w:val="FF0000"/>
          <w:sz w:val="28"/>
          <w:szCs w:val="28"/>
        </w:rPr>
      </w:pPr>
    </w:p>
    <w:p>
      <w:r>
        <w:br w:type="page"/>
      </w:r>
    </w:p>
    <w:p>
      <w:pPr>
        <w:pStyle w:val="4"/>
        <w:ind w:firstLine="482" w:firstLineChars="200"/>
        <w:rPr>
          <w:rFonts w:hint="eastAsia"/>
          <w:b/>
          <w:sz w:val="24"/>
          <w:lang w:val="en-US" w:eastAsia="zh-CN"/>
        </w:rPr>
      </w:pPr>
      <w:r>
        <w:rPr>
          <w:rFonts w:hint="eastAsia"/>
          <w:b/>
          <w:sz w:val="24"/>
          <w:lang w:val="en-US" w:eastAsia="zh-CN"/>
        </w:rPr>
        <w:t>附件：</w:t>
      </w:r>
    </w:p>
    <w:p>
      <w:pPr>
        <w:pStyle w:val="4"/>
        <w:ind w:firstLine="482" w:firstLineChars="200"/>
        <w:rPr>
          <w:b/>
          <w:sz w:val="24"/>
        </w:rPr>
      </w:pPr>
      <w:r>
        <w:rPr>
          <w:rFonts w:hint="eastAsia"/>
          <w:b/>
          <w:sz w:val="24"/>
          <w:lang w:val="en-US" w:eastAsia="zh-CN"/>
        </w:rPr>
        <w:t>一、</w:t>
      </w:r>
      <w:r>
        <w:rPr>
          <w:rFonts w:hint="eastAsia"/>
          <w:b/>
          <w:sz w:val="24"/>
        </w:rPr>
        <w:t>货物一览表</w:t>
      </w:r>
    </w:p>
    <w:tbl>
      <w:tblPr>
        <w:tblStyle w:val="12"/>
        <w:tblW w:w="4408" w:type="pct"/>
        <w:tblInd w:w="959" w:type="dxa"/>
        <w:tblLayout w:type="autofit"/>
        <w:tblCellMar>
          <w:top w:w="0" w:type="dxa"/>
          <w:left w:w="108" w:type="dxa"/>
          <w:bottom w:w="0" w:type="dxa"/>
          <w:right w:w="108" w:type="dxa"/>
        </w:tblCellMar>
      </w:tblPr>
      <w:tblGrid>
        <w:gridCol w:w="997"/>
        <w:gridCol w:w="3659"/>
        <w:gridCol w:w="2496"/>
        <w:gridCol w:w="1660"/>
      </w:tblGrid>
      <w:tr>
        <w:tblPrEx>
          <w:tblCellMar>
            <w:top w:w="0" w:type="dxa"/>
            <w:left w:w="108" w:type="dxa"/>
            <w:bottom w:w="0" w:type="dxa"/>
            <w:right w:w="108" w:type="dxa"/>
          </w:tblCellMar>
        </w:tblPrEx>
        <w:trPr>
          <w:trHeight w:val="288" w:hRule="atLeast"/>
        </w:trPr>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207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设备名称</w:t>
            </w:r>
          </w:p>
        </w:tc>
        <w:tc>
          <w:tcPr>
            <w:tcW w:w="14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数量</w:t>
            </w:r>
          </w:p>
        </w:tc>
        <w:tc>
          <w:tcPr>
            <w:tcW w:w="9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单位 </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机房电源</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台</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2</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铅酸蓄电池</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32</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只</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3</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电池柜</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2</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个</w:t>
            </w:r>
          </w:p>
        </w:tc>
      </w:tr>
      <w:tr>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4</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rPr>
              <w:t>服务器机柜</w:t>
            </w:r>
          </w:p>
        </w:tc>
        <w:tc>
          <w:tcPr>
            <w:tcW w:w="21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rPr>
              <w:t>1</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rPr>
              <w:t>台</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5</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电池开关箱</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个</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6</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STS静态转换开关</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台</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7</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PDU</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rPr>
              <w:t>1</w:t>
            </w:r>
            <w:r>
              <w:rPr>
                <w:rFonts w:hint="eastAsia" w:ascii="宋体" w:hAnsi="宋体" w:cs="宋体"/>
                <w:b w:val="0"/>
                <w:bCs w:val="0"/>
                <w:color w:val="auto"/>
                <w:kern w:val="0"/>
                <w:sz w:val="22"/>
                <w:szCs w:val="22"/>
                <w:lang w:val="en-US" w:eastAsia="zh-CN"/>
              </w:rPr>
              <w:t>4</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台</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8</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UPS输入输出线</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70</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米</w:t>
            </w:r>
          </w:p>
        </w:tc>
      </w:tr>
      <w:tr>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9</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UPS至电池连接线</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95</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米</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10</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机柜线缆</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1</w:t>
            </w:r>
            <w:r>
              <w:rPr>
                <w:rFonts w:hint="eastAsia" w:ascii="宋体" w:hAnsi="宋体" w:cs="宋体"/>
                <w:b w:val="0"/>
                <w:bCs w:val="0"/>
                <w:color w:val="auto"/>
                <w:kern w:val="0"/>
                <w:sz w:val="22"/>
                <w:szCs w:val="22"/>
                <w:lang w:val="en-US" w:eastAsia="zh-CN"/>
              </w:rPr>
              <w:t>6</w:t>
            </w:r>
            <w:r>
              <w:rPr>
                <w:rFonts w:hint="eastAsia" w:ascii="宋体" w:hAnsi="宋体" w:cs="宋体"/>
                <w:b w:val="0"/>
                <w:bCs w:val="0"/>
                <w:color w:val="auto"/>
                <w:kern w:val="0"/>
                <w:sz w:val="22"/>
                <w:szCs w:val="22"/>
              </w:rPr>
              <w:t>0</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color w:val="auto"/>
                <w:kern w:val="0"/>
                <w:sz w:val="22"/>
                <w:szCs w:val="22"/>
              </w:rPr>
            </w:pPr>
            <w:r>
              <w:rPr>
                <w:rFonts w:hint="eastAsia" w:ascii="宋体" w:hAnsi="宋体" w:cs="宋体"/>
                <w:b w:val="0"/>
                <w:bCs w:val="0"/>
                <w:color w:val="auto"/>
                <w:kern w:val="0"/>
                <w:sz w:val="22"/>
                <w:szCs w:val="22"/>
              </w:rPr>
              <w:t>米</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rPr>
              <w:t>1</w:t>
            </w:r>
            <w:r>
              <w:rPr>
                <w:rFonts w:hint="eastAsia" w:ascii="宋体" w:hAnsi="宋体" w:cs="宋体"/>
                <w:b w:val="0"/>
                <w:bCs w:val="0"/>
                <w:kern w:val="0"/>
                <w:sz w:val="22"/>
                <w:szCs w:val="22"/>
                <w:lang w:val="en-US" w:eastAsia="zh-CN"/>
              </w:rPr>
              <w:t>1</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配电改造</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项</w:t>
            </w:r>
          </w:p>
        </w:tc>
      </w:tr>
      <w:tr>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rPr>
              <w:t>1</w:t>
            </w:r>
            <w:r>
              <w:rPr>
                <w:rFonts w:hint="eastAsia" w:ascii="宋体" w:hAnsi="宋体" w:cs="宋体"/>
                <w:b w:val="0"/>
                <w:bCs w:val="0"/>
                <w:kern w:val="0"/>
                <w:sz w:val="22"/>
                <w:szCs w:val="22"/>
                <w:lang w:val="en-US" w:eastAsia="zh-CN"/>
              </w:rPr>
              <w:t>2</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封闭桥架</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2</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米</w:t>
            </w:r>
          </w:p>
        </w:tc>
      </w:tr>
      <w:tr>
        <w:tblPrEx>
          <w:tblCellMar>
            <w:top w:w="0" w:type="dxa"/>
            <w:left w:w="108" w:type="dxa"/>
            <w:bottom w:w="0" w:type="dxa"/>
            <w:right w:w="108" w:type="dxa"/>
          </w:tblCellMar>
        </w:tblPrEx>
        <w:trPr>
          <w:trHeight w:val="288" w:hRule="atLeast"/>
        </w:trPr>
        <w:tc>
          <w:tcPr>
            <w:tcW w:w="5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rPr>
              <w:t>1</w:t>
            </w:r>
            <w:r>
              <w:rPr>
                <w:rFonts w:hint="eastAsia" w:ascii="宋体" w:hAnsi="宋体" w:cs="宋体"/>
                <w:b w:val="0"/>
                <w:bCs w:val="0"/>
                <w:kern w:val="0"/>
                <w:sz w:val="22"/>
                <w:szCs w:val="22"/>
                <w:lang w:val="en-US" w:eastAsia="zh-CN"/>
              </w:rPr>
              <w:t>3</w:t>
            </w:r>
          </w:p>
        </w:tc>
        <w:tc>
          <w:tcPr>
            <w:tcW w:w="20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静电地板</w:t>
            </w:r>
          </w:p>
        </w:tc>
        <w:tc>
          <w:tcPr>
            <w:tcW w:w="14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2</w:t>
            </w:r>
          </w:p>
        </w:tc>
        <w:tc>
          <w:tcPr>
            <w:tcW w:w="9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张</w:t>
            </w:r>
          </w:p>
        </w:tc>
      </w:tr>
      <w:tr>
        <w:tblPrEx>
          <w:tblCellMar>
            <w:top w:w="0" w:type="dxa"/>
            <w:left w:w="108" w:type="dxa"/>
            <w:bottom w:w="0" w:type="dxa"/>
            <w:right w:w="108" w:type="dxa"/>
          </w:tblCellMar>
        </w:tblPrEx>
        <w:trPr>
          <w:trHeight w:val="288" w:hRule="atLeast"/>
        </w:trPr>
        <w:tc>
          <w:tcPr>
            <w:tcW w:w="56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rPr>
              <w:t>1</w:t>
            </w:r>
            <w:r>
              <w:rPr>
                <w:rFonts w:hint="eastAsia" w:ascii="宋体" w:hAnsi="宋体" w:cs="宋体"/>
                <w:b w:val="0"/>
                <w:bCs w:val="0"/>
                <w:kern w:val="0"/>
                <w:sz w:val="22"/>
                <w:szCs w:val="22"/>
                <w:lang w:val="en-US" w:eastAsia="zh-CN"/>
              </w:rPr>
              <w:t>4</w:t>
            </w:r>
          </w:p>
        </w:tc>
        <w:tc>
          <w:tcPr>
            <w:tcW w:w="20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辅材</w:t>
            </w:r>
          </w:p>
        </w:tc>
        <w:tc>
          <w:tcPr>
            <w:tcW w:w="141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9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批</w:t>
            </w:r>
          </w:p>
        </w:tc>
      </w:tr>
      <w:tr>
        <w:tblPrEx>
          <w:tblCellMar>
            <w:top w:w="0" w:type="dxa"/>
            <w:left w:w="108" w:type="dxa"/>
            <w:bottom w:w="0" w:type="dxa"/>
            <w:right w:w="108" w:type="dxa"/>
          </w:tblCellMar>
        </w:tblPrEx>
        <w:trPr>
          <w:trHeight w:val="288" w:hRule="atLeast"/>
        </w:trPr>
        <w:tc>
          <w:tcPr>
            <w:tcW w:w="56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15</w:t>
            </w:r>
          </w:p>
        </w:tc>
        <w:tc>
          <w:tcPr>
            <w:tcW w:w="207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原有设备拆除</w:t>
            </w:r>
          </w:p>
        </w:tc>
        <w:tc>
          <w:tcPr>
            <w:tcW w:w="141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1</w:t>
            </w:r>
          </w:p>
        </w:tc>
        <w:tc>
          <w:tcPr>
            <w:tcW w:w="94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项</w:t>
            </w:r>
          </w:p>
        </w:tc>
      </w:tr>
    </w:tbl>
    <w:p>
      <w:pPr>
        <w:widowControl/>
        <w:jc w:val="left"/>
        <w:rPr>
          <w:rFonts w:ascii="宋体" w:hAnsi="宋体"/>
          <w:b/>
          <w:sz w:val="24"/>
        </w:rPr>
      </w:pPr>
    </w:p>
    <w:p>
      <w:pPr>
        <w:pStyle w:val="4"/>
        <w:numPr>
          <w:ilvl w:val="0"/>
          <w:numId w:val="0"/>
        </w:numPr>
        <w:ind w:firstLine="241" w:firstLineChars="100"/>
        <w:rPr>
          <w:b/>
          <w:sz w:val="24"/>
        </w:rPr>
      </w:pPr>
      <w:r>
        <w:rPr>
          <w:rFonts w:hint="eastAsia"/>
          <w:b/>
          <w:sz w:val="24"/>
          <w:lang w:val="en-US" w:eastAsia="zh-CN"/>
        </w:rPr>
        <w:t>二、</w:t>
      </w:r>
      <w:r>
        <w:rPr>
          <w:rFonts w:hint="eastAsia"/>
          <w:b/>
          <w:sz w:val="24"/>
        </w:rPr>
        <w:t>技术参数要求</w:t>
      </w:r>
    </w:p>
    <w:tbl>
      <w:tblPr>
        <w:tblStyle w:val="12"/>
        <w:tblW w:w="5000" w:type="pct"/>
        <w:tblInd w:w="0" w:type="dxa"/>
        <w:tblLayout w:type="autofit"/>
        <w:tblCellMar>
          <w:top w:w="0" w:type="dxa"/>
          <w:left w:w="108" w:type="dxa"/>
          <w:bottom w:w="0" w:type="dxa"/>
          <w:right w:w="108" w:type="dxa"/>
        </w:tblCellMar>
      </w:tblPr>
      <w:tblGrid>
        <w:gridCol w:w="678"/>
        <w:gridCol w:w="1100"/>
        <w:gridCol w:w="6862"/>
        <w:gridCol w:w="678"/>
        <w:gridCol w:w="678"/>
      </w:tblGrid>
      <w:tr>
        <w:tblPrEx>
          <w:tblCellMar>
            <w:top w:w="0" w:type="dxa"/>
            <w:left w:w="108" w:type="dxa"/>
            <w:bottom w:w="0" w:type="dxa"/>
            <w:right w:w="108" w:type="dxa"/>
          </w:tblCellMar>
        </w:tblPrEx>
        <w:trPr>
          <w:trHeight w:val="28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产品名称</w:t>
            </w:r>
          </w:p>
        </w:tc>
        <w:tc>
          <w:tcPr>
            <w:tcW w:w="3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招标参数</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数量</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r>
      <w:tr>
        <w:tblPrEx>
          <w:tblCellMar>
            <w:top w:w="0" w:type="dxa"/>
            <w:left w:w="108" w:type="dxa"/>
            <w:bottom w:w="0" w:type="dxa"/>
            <w:right w:w="108" w:type="dxa"/>
          </w:tblCellMar>
        </w:tblPrEx>
        <w:trPr>
          <w:trHeight w:val="288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机房电源</w:t>
            </w:r>
          </w:p>
        </w:tc>
        <w:tc>
          <w:tcPr>
            <w:tcW w:w="3431" w:type="pct"/>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color w:val="auto"/>
                <w:sz w:val="18"/>
                <w:szCs w:val="18"/>
                <w:highlight w:val="none"/>
                <w:lang w:eastAsia="zh-CN"/>
              </w:rPr>
              <w:t xml:space="preserve"> </w:t>
            </w:r>
            <w:r>
              <w:rPr>
                <w:rFonts w:hint="eastAsia" w:asciiTheme="minorEastAsia" w:hAnsiTheme="minorEastAsia" w:eastAsiaTheme="minorEastAsia"/>
                <w:color w:val="auto"/>
                <w:sz w:val="18"/>
                <w:szCs w:val="18"/>
                <w:highlight w:val="none"/>
              </w:rPr>
              <w:t>（1）要求机房电源为三进三出模块化UPS，模块化机柜满配容量≥90kVA；单个功率模块容量≥15</w:t>
            </w:r>
            <w:r>
              <w:rPr>
                <w:rFonts w:hint="eastAsia" w:asciiTheme="minorEastAsia" w:hAnsiTheme="minorEastAsia" w:eastAsiaTheme="minorEastAsia"/>
                <w:color w:val="auto"/>
                <w:sz w:val="18"/>
                <w:szCs w:val="18"/>
                <w:highlight w:val="none"/>
                <w:lang w:val="en-US" w:eastAsia="zh-CN"/>
              </w:rPr>
              <w:t>kW</w:t>
            </w:r>
            <w:r>
              <w:rPr>
                <w:rFonts w:hint="eastAsia" w:asciiTheme="minorEastAsia" w:hAnsiTheme="minorEastAsia" w:eastAsiaTheme="minorEastAsia"/>
                <w:color w:val="auto"/>
                <w:sz w:val="18"/>
                <w:szCs w:val="18"/>
                <w:highlight w:val="none"/>
              </w:rPr>
              <w:t>；本次UPS配置容量≥45</w:t>
            </w:r>
            <w:r>
              <w:rPr>
                <w:rFonts w:hint="eastAsia" w:asciiTheme="minorEastAsia" w:hAnsiTheme="minorEastAsia" w:eastAsiaTheme="minorEastAsia"/>
                <w:color w:val="auto"/>
                <w:sz w:val="18"/>
                <w:szCs w:val="18"/>
                <w:highlight w:val="none"/>
                <w:lang w:val="en-US" w:eastAsia="zh-CN"/>
              </w:rPr>
              <w:t>kW</w:t>
            </w:r>
            <w:r>
              <w:rPr>
                <w:rFonts w:hint="eastAsia" w:asciiTheme="minorEastAsia" w:hAnsiTheme="minorEastAsia" w:eastAsiaTheme="minorEastAsia"/>
                <w:color w:val="auto"/>
                <w:sz w:val="18"/>
                <w:szCs w:val="18"/>
                <w:highlight w:val="none"/>
              </w:rPr>
              <w:t>，</w:t>
            </w:r>
            <w:r>
              <w:rPr>
                <w:rFonts w:hint="default" w:asciiTheme="minorEastAsia" w:hAnsiTheme="minorEastAsia" w:eastAsiaTheme="minorEastAsia"/>
                <w:color w:val="auto"/>
                <w:sz w:val="18"/>
                <w:szCs w:val="18"/>
                <w:highlight w:val="none"/>
              </w:rPr>
              <w:t>后备时间≥2 小时。</w:t>
            </w:r>
            <w:r>
              <w:rPr>
                <w:rFonts w:hint="eastAsia" w:asciiTheme="minorEastAsia" w:hAnsiTheme="minorEastAsia" w:eastAsiaTheme="minorEastAsia"/>
                <w:color w:val="auto"/>
                <w:sz w:val="18"/>
                <w:szCs w:val="18"/>
                <w:highlight w:val="none"/>
              </w:rPr>
              <w:t>模块数量≥3</w:t>
            </w:r>
            <w:r>
              <w:rPr>
                <w:rFonts w:hint="eastAsia" w:asciiTheme="minorEastAsia" w:hAnsiTheme="minorEastAsia" w:eastAsiaTheme="minorEastAsia"/>
                <w:color w:val="auto"/>
                <w:sz w:val="18"/>
                <w:szCs w:val="18"/>
                <w:highlight w:val="none"/>
                <w:lang w:eastAsia="zh-CN"/>
              </w:rPr>
              <w:t>套</w:t>
            </w:r>
            <w:r>
              <w:rPr>
                <w:rFonts w:hint="eastAsia" w:asciiTheme="minorEastAsia" w:hAnsiTheme="minorEastAsia" w:eastAsiaTheme="minorEastAsia"/>
                <w:color w:val="auto"/>
                <w:sz w:val="18"/>
                <w:szCs w:val="18"/>
                <w:highlight w:val="none"/>
              </w:rPr>
              <w:t>，需提供产品彩页并加盖所投品牌厂商公章。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（2）机房电源应是智能容错模块化UPS电源，模块化设计，实现模块化冗余。</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（3）UPS电源安装时，占地面积不超过0.66平方米，高度≤2.1米。</w:t>
            </w:r>
          </w:p>
          <w:p>
            <w:pPr>
              <w:adjustRightInd w:val="0"/>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（4）系统采用分散非主从控制方式，每个功率模块采用独立的双DSP控制技术，单个模块可独立运行，不依赖集中控制器控制，具备不转旁路热插拔功能，使整个系统独立性增强</w:t>
            </w:r>
            <w:r>
              <w:rPr>
                <w:rFonts w:hint="eastAsia" w:asciiTheme="minorEastAsia" w:hAnsiTheme="minorEastAsia" w:eastAsiaTheme="minorEastAsia"/>
                <w:color w:val="auto"/>
                <w:sz w:val="18"/>
                <w:szCs w:val="18"/>
                <w:highlight w:val="none"/>
              </w:rPr>
              <w:t>，互不干扰。需提供控制全冗余设计第三方检测报告证明并加盖所投品牌厂商公章。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（5）为保证产品的高效节能、绿色环保，输入功率因数≧0.999，系统效率≥95.8%（50%负载），需提供泰尔检测报告并加盖所投品牌厂商公章。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（6）为避免分散旁路造成旁路环流问题而引发故障，整机采用集中旁路设</w:t>
            </w:r>
            <w:r>
              <w:rPr>
                <w:rFonts w:hint="eastAsia" w:asciiTheme="minorEastAsia" w:hAnsiTheme="minorEastAsia" w:eastAsiaTheme="minorEastAsia"/>
                <w:color w:val="auto"/>
                <w:sz w:val="18"/>
                <w:szCs w:val="18"/>
                <w:highlight w:val="none"/>
              </w:rPr>
              <w:t>计。</w:t>
            </w:r>
          </w:p>
          <w:p>
            <w:pPr>
              <w:adjustRightInd w:val="0"/>
              <w:snapToGrid w:val="0"/>
              <w:spacing w:line="360" w:lineRule="auto"/>
              <w:jc w:val="left"/>
              <w:rPr>
                <w:rFonts w:hint="eastAsia" w:asciiTheme="minorEastAsia" w:hAnsiTheme="minorEastAsia" w:eastAsiaTheme="minorEastAsia"/>
                <w:color w:val="auto"/>
                <w:sz w:val="18"/>
                <w:szCs w:val="18"/>
                <w:highlight w:val="none"/>
                <w:lang w:eastAsia="zh-CN"/>
              </w:rPr>
            </w:pPr>
            <w:r>
              <w:rPr>
                <w:rFonts w:hint="eastAsia" w:asciiTheme="minorEastAsia" w:hAnsi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（7）模块化UPS的所有模块包括旁路单元、控制单元、功率单元、充电单元等均须支持在线热插拔，达到所有模块全冗余方式，提升系统高可靠性及高可</w:t>
            </w:r>
            <w:r>
              <w:rPr>
                <w:rFonts w:hint="eastAsia" w:asciiTheme="minorEastAsia" w:hAnsiTheme="minorEastAsia" w:eastAsiaTheme="minorEastAsia"/>
                <w:color w:val="auto"/>
                <w:sz w:val="18"/>
                <w:szCs w:val="18"/>
                <w:highlight w:val="none"/>
              </w:rPr>
              <w:t>用性。需提供全模块热插拔功能第三方检测报告证明并加盖所投品牌厂商公章</w:t>
            </w:r>
            <w:r>
              <w:rPr>
                <w:rFonts w:hint="eastAsia" w:asciiTheme="minorEastAsia" w:hAnsiTheme="minorEastAsia" w:eastAsiaTheme="minorEastAsia"/>
                <w:color w:val="auto"/>
                <w:sz w:val="18"/>
                <w:szCs w:val="18"/>
                <w:highlight w:val="none"/>
                <w:lang w:eastAsia="zh-CN"/>
              </w:rPr>
              <w:t>。</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（8）系统采用分散充电设计，每个功率模块应具有独立的充电功能，避免充电器单点故障，提高系统的可靠性；充电功率可进行1～20%的设置。</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Theme="minorEastAsia" w:hAnsiTheme="minorEastAsia" w:eastAsiaTheme="minorEastAsia"/>
                <w:color w:val="auto"/>
                <w:sz w:val="18"/>
                <w:szCs w:val="18"/>
                <w:highlight w:val="none"/>
              </w:rPr>
              <w:t>（9）输出电流不均衡度≤1%（50%负载），需提供泰尔检测报告并加盖所投品牌厂商公章。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Theme="minorEastAsia" w:hAnsiTheme="minorEastAsia" w:eastAsiaTheme="minorEastAsia"/>
                <w:color w:val="auto"/>
                <w:sz w:val="18"/>
                <w:szCs w:val="18"/>
                <w:highlight w:val="none"/>
              </w:rPr>
              <w:t>（10）输出功率因数必须为1（1kVA=1kW），以便与负载完美匹配，需提供泰尔检测报告并加盖所投品牌厂商公章。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（11）系统须满足下述过载能力： 125%额定阻性负载＞10分钟后转旁路输出，需提供泰尔检测报告并加盖所投品牌厂商公章。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 电池组节数可进行±16～±22节设置，便于未来遭遇个别电池故障需要维护、更换时, 可灵活调节电池节数的需要。</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Theme="minorEastAsia" w:hAnsiTheme="minorEastAsia" w:eastAsiaTheme="minorEastAsia"/>
                <w:color w:val="auto"/>
                <w:sz w:val="18"/>
                <w:szCs w:val="18"/>
                <w:highlight w:val="none"/>
              </w:rPr>
              <w:t>（13）系统需具有黑匣子功能，全面监控功率模块关键部分参数，实现故障可控可管 ：记录和预警关键部位器件的数据，可设置风扇更换时间到期提示功能，每个模块提供不少于8个温度监控点，包含IGBT温度、进风口温度、出风口温度或SCR温度。有故障发生时，能够自动记录该时刻前后一段时间的整流\逆变的波形数据，并可以导出至电脑端生成波形图</w:t>
            </w:r>
            <w:r>
              <w:rPr>
                <w:rFonts w:hint="eastAsia" w:asciiTheme="minorEastAsia" w:hAnsiTheme="minorEastAsia" w:eastAsiaTheme="minorEastAsia"/>
                <w:color w:val="auto"/>
                <w:sz w:val="18"/>
                <w:szCs w:val="18"/>
                <w:highlight w:val="none"/>
              </w:rPr>
              <w:t>，以上功能需提供第三方检测报告证明并加盖所投品牌厂商公章。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Theme="minorEastAsia" w:hAnsiTheme="minorEastAsia" w:eastAsiaTheme="minorEastAsia"/>
                <w:color w:val="auto"/>
                <w:sz w:val="18"/>
                <w:szCs w:val="18"/>
                <w:highlight w:val="none"/>
              </w:rPr>
              <w:t>（14）功率模块采</w:t>
            </w:r>
            <w:r>
              <w:rPr>
                <w:rFonts w:hint="eastAsia" w:asciiTheme="minorEastAsia" w:hAnsiTheme="minorEastAsia" w:eastAsiaTheme="minorEastAsia"/>
                <w:color w:val="auto"/>
                <w:sz w:val="18"/>
                <w:szCs w:val="18"/>
                <w:highlight w:val="none"/>
                <w:u w:val="none"/>
              </w:rPr>
              <w:t>用人性化</w:t>
            </w:r>
            <w:r>
              <w:rPr>
                <w:rFonts w:hint="eastAsia" w:asciiTheme="minorEastAsia" w:hAnsiTheme="minorEastAsia" w:eastAsiaTheme="minorEastAsia"/>
                <w:color w:val="auto"/>
                <w:sz w:val="18"/>
                <w:szCs w:val="18"/>
                <w:highlight w:val="none"/>
              </w:rPr>
              <w:t>的编号方法和编号装置，系统可智能识别，无需通过拨码或软件设置，需提供第三方权威机构证明文件并加盖所投品牌厂商公章。</w:t>
            </w:r>
          </w:p>
          <w:p>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具备智能休眠模式，当模块的负载率小于休眠负载级别时，控制器根据当前负载量来决定进入休眠模式的模块数量，并在根据所设置的轮休时间来进行休眠轮换，以节省能耗真正实现绿色节能，同时提高系统综合使用寿命。</w:t>
            </w:r>
          </w:p>
          <w:p>
            <w:pPr>
              <w:adjustRightInd w:val="0"/>
              <w:snapToGrid w:val="0"/>
              <w:spacing w:line="360" w:lineRule="auto"/>
              <w:jc w:val="left"/>
              <w:rPr>
                <w:rFonts w:asciiTheme="minorEastAsia" w:hAnsiTheme="minorEastAsia" w:eastAsiaTheme="minorEastAsia"/>
                <w:strike/>
                <w:dstrike w:val="0"/>
                <w:color w:val="auto"/>
                <w:sz w:val="18"/>
                <w:szCs w:val="18"/>
                <w:highlight w:val="none"/>
              </w:rPr>
            </w:pPr>
            <w:r>
              <w:rPr>
                <w:rFonts w:hint="eastAsia" w:asciiTheme="minorEastAsia" w:hAnsiTheme="minorEastAsia" w:eastAsiaTheme="minorEastAsia"/>
                <w:color w:val="auto"/>
                <w:sz w:val="18"/>
                <w:szCs w:val="18"/>
                <w:highlight w:val="none"/>
              </w:rPr>
              <w:t>（16）功率模块可以设置逐个启动功能，可以更好的配合发电机平滑启动，避免UPS启动导致发电机死机现象。需提供功率模块逐个启动功能第三方检测报告证明并加盖所投品牌厂商公章。</w:t>
            </w:r>
          </w:p>
          <w:p>
            <w:pPr>
              <w:adjustRightInd w:val="0"/>
              <w:snapToGrid w:val="0"/>
              <w:spacing w:line="360" w:lineRule="auto"/>
              <w:jc w:val="left"/>
              <w:rPr>
                <w:rFonts w:hint="eastAsia" w:asciiTheme="minorEastAsia" w:hAnsiTheme="minorEastAsia" w:eastAsiaTheme="minorEastAsia"/>
                <w:color w:val="auto"/>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7</w:t>
            </w:r>
            <w:r>
              <w:rPr>
                <w:rFonts w:hint="eastAsia" w:asciiTheme="minorEastAsia" w:hAnsiTheme="minorEastAsia" w:eastAsiaTheme="minorEastAsia"/>
                <w:color w:val="auto"/>
                <w:sz w:val="18"/>
                <w:szCs w:val="18"/>
                <w:highlight w:val="none"/>
              </w:rPr>
              <w:t>）UPS电源后台监控软件取得了“计算机软件著作权登记证书”。UPS液晶触摸屏监控软件取得了“计算机软件著作权登记证书”，需提供相应证书复印件并加盖所投品牌厂商公章。</w:t>
            </w:r>
          </w:p>
          <w:p>
            <w:pPr>
              <w:adjustRightInd w:val="0"/>
              <w:snapToGrid w:val="0"/>
              <w:spacing w:line="360" w:lineRule="auto"/>
              <w:jc w:val="left"/>
              <w:rPr>
                <w:rFonts w:hint="default" w:asciiTheme="minorEastAsia" w:hAnsiTheme="minorEastAsia" w:eastAsiaTheme="minorEastAsia"/>
                <w:color w:val="auto"/>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default" w:asciiTheme="minorEastAsia" w:hAnsiTheme="minorEastAsia" w:eastAsiaTheme="minorEastAsia"/>
                <w:color w:val="auto"/>
                <w:sz w:val="18"/>
                <w:szCs w:val="18"/>
                <w:highlight w:val="none"/>
              </w:rPr>
              <w:t>(18) UPS 电源必须接入现有动环监控系统。</w:t>
            </w:r>
          </w:p>
          <w:p>
            <w:pPr>
              <w:adjustRightInd w:val="0"/>
              <w:snapToGrid w:val="0"/>
              <w:spacing w:line="360" w:lineRule="auto"/>
              <w:jc w:val="left"/>
              <w:rPr>
                <w:rFonts w:ascii="宋体" w:hAnsi="宋体" w:cs="宋体"/>
                <w:color w:val="auto"/>
                <w:kern w:val="0"/>
                <w:sz w:val="18"/>
                <w:szCs w:val="18"/>
                <w:highlight w:val="none"/>
              </w:rPr>
            </w:pPr>
            <w:r>
              <w:rPr>
                <w:rFonts w:hint="eastAsia" w:asciiTheme="minorEastAsia" w:hAnsiTheme="minorEastAsia"/>
                <w:color w:val="auto"/>
                <w:sz w:val="18"/>
                <w:szCs w:val="18"/>
                <w:highlight w:val="none"/>
                <w:lang w:eastAsia="zh-CN"/>
              </w:rPr>
              <w:t xml:space="preserve"> </w:t>
            </w:r>
            <w:r>
              <w:rPr>
                <w:rFonts w:hint="eastAsia" w:asciiTheme="minorEastAsia" w:hAnsiTheme="minorEastAsia" w:eastAsiaTheme="minorEastAsia"/>
                <w:color w:val="auto"/>
                <w:sz w:val="18"/>
                <w:szCs w:val="18"/>
                <w:highlight w:val="none"/>
              </w:rPr>
              <w:t>（1</w:t>
            </w:r>
            <w:r>
              <w:rPr>
                <w:rFonts w:hint="default" w:asciiTheme="minorEastAsia" w:hAnsiTheme="minorEastAsia" w:eastAsiaTheme="minorEastAsia"/>
                <w:color w:val="auto"/>
                <w:sz w:val="18"/>
                <w:szCs w:val="18"/>
                <w:highlight w:val="none"/>
              </w:rPr>
              <w:t>9</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kern w:val="0"/>
                <w:sz w:val="18"/>
                <w:szCs w:val="18"/>
                <w:highlight w:val="none"/>
              </w:rPr>
              <w:t>提供针对本项目所投产品原厂售后服务承诺函并加盖所</w:t>
            </w:r>
            <w:r>
              <w:rPr>
                <w:rFonts w:hint="eastAsia" w:asciiTheme="minorEastAsia" w:hAnsiTheme="minorEastAsia" w:eastAsiaTheme="minorEastAsia"/>
                <w:color w:val="auto"/>
                <w:kern w:val="0"/>
                <w:sz w:val="18"/>
                <w:szCs w:val="18"/>
                <w:highlight w:val="none"/>
                <w:lang w:eastAsia="zh-CN"/>
              </w:rPr>
              <w:t>投</w:t>
            </w:r>
            <w:r>
              <w:rPr>
                <w:rFonts w:hint="eastAsia" w:asciiTheme="minorEastAsia" w:hAnsiTheme="minorEastAsia" w:eastAsiaTheme="minorEastAsia"/>
                <w:color w:val="auto"/>
                <w:kern w:val="0"/>
                <w:sz w:val="18"/>
                <w:szCs w:val="18"/>
                <w:highlight w:val="none"/>
              </w:rPr>
              <w:t>品牌厂商公章。</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1418"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铅酸蓄电池</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（1）类型：免维护阀控式密封铅酸蓄电池（VRLA）。</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（2）电池容量：100AH。</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（3）主要充电指标：</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（a）浮充电压：环境温度在25℃时，充电电压13.5到13.8V/单体；</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（b）均充电压：环境温度在25℃时，充电电压14.4到14.8V/单体；</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（c）允许的最大充电电流：2I10；</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（d）允许的最大均充电电压：不大于14.8V/单体。</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（e）耐过充电能力：蓄电池按规定要求试验后，其外观应无明显变形及渗液。</w:t>
            </w:r>
          </w:p>
          <w:p>
            <w:pPr>
              <w:widowControl/>
              <w:jc w:val="left"/>
              <w:rPr>
                <w:rFonts w:ascii="宋体" w:hAnsi="宋体" w:cs="宋体"/>
                <w:color w:val="auto"/>
                <w:kern w:val="0"/>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cs="宋体"/>
                <w:color w:val="auto"/>
                <w:kern w:val="0"/>
                <w:sz w:val="18"/>
                <w:szCs w:val="18"/>
                <w:highlight w:val="none"/>
              </w:rPr>
              <w:t>（4）蓄电池关键元器件和材料: 提供蓄电池TLC证书附件，其中关键元器件和材料信息中，至少有一项元器件或材料为蓄电池生产单位自主生产。附TLC证书附件复印件予以证明，并加盖制造厂家公章。</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（5）密封反应效率不得低于95%。</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（6）板栅结构：正极板采用铅钙锡铝合金，正极板结构为为涂膏式铸造板栅结构，以保证内阻小，放电功率大。</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（7）大电流放电：以30I10放电3分钟，极柱应不熔断，内部汇流排应不熔断，外观应无异常。</w:t>
            </w:r>
          </w:p>
          <w:p>
            <w:pPr>
              <w:widowControl/>
              <w:jc w:val="left"/>
              <w:rPr>
                <w:rFonts w:ascii="宋体" w:hAnsi="宋体" w:cs="宋体"/>
                <w:color w:val="auto"/>
                <w:kern w:val="0"/>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cs="宋体"/>
                <w:color w:val="auto"/>
                <w:kern w:val="0"/>
                <w:sz w:val="18"/>
                <w:szCs w:val="18"/>
                <w:highlight w:val="none"/>
              </w:rPr>
              <w:t>（8）气密性：蓄电池在环境温度25±5℃的条件下，储存24h，通过安全阀向蓄电池充气在内外压差为50Kpa时并持续不少于5s时，能够不破裂、不开胶、压力释放后壳体无残余变形。蓄电池极柱与电池槽盖采用自动热封技术一体成型,不能胶封，提供材质及工艺说明并盖制造厂家公章。</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（9）安全阀应具有自动开启和自动关闭的功能，蓄电池的核心部件安全阀应是制造商自有品牌，并附TLC报告复印件予以证明，并加盖公章，其开阀压力应为10kPa～35kPa，闭阀压力应为3kPa～30kPa。</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（10）短接恢复能力：经受5次短路循环后放电容量≥额定容量（C10）的90%。</w:t>
            </w:r>
          </w:p>
          <w:p>
            <w:pPr>
              <w:widowControl/>
              <w:jc w:val="left"/>
              <w:rPr>
                <w:rFonts w:ascii="宋体" w:hAnsi="宋体" w:cs="宋体"/>
                <w:color w:val="auto"/>
                <w:kern w:val="0"/>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cs="宋体"/>
                <w:color w:val="auto"/>
                <w:kern w:val="0"/>
                <w:sz w:val="18"/>
                <w:szCs w:val="18"/>
                <w:highlight w:val="none"/>
              </w:rPr>
              <w:t>（11）壳体材料的阻燃及长寿命性能：蓄电池外壳须采用阻燃壳体制造，蓄电池遇火时，内部应不引燃、不引爆。蓄电池槽、盖采用透水率低保证长寿命的PP（聚丙烯）材料制造，阻燃性能应符合UL94-V0 的要求，提供材质承诺并盖制造商公章。</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（12）蓄电池端电压的均衡性：由若干单体组成的蓄电池组， 12V电池开路电压差不大于100mV，浮充24h后，各蓄电池之间端电压差不大于480mV。</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（13）蓄电池可在-15℃至+45℃的温度下使用。</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（14）提供蓄电池组内电池与电池之间连接所需完整的安装加固及连接材料，并且满足抗震要求；连接材料需使用铜排硬连接或软连接，电池连接遇拐弯时可以采用铜质软线缆代替铜排连接。</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（15）蓄电池端子应用螺栓、螺母连接，蓄电池间的连接电压降ΔU≤10mV。蓄电池之间使用铜质电缆或铜排连接，压接牢靠，工艺美观。</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（16）容量试验：蓄电池组按照“YD／T 799-2010 7.7规定”的相关方法试验，10h 率容量第一次循环应达到0.95C10；在第三次循环之前，10h 率容量应达到C10，3h 率容量应达到0.75C10，1h 率容量应达到0.55C10。 </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（17）所有电池应采用同一批次产品，电池从出厂到投入使用之间的时间小于3个月。</w:t>
            </w:r>
          </w:p>
          <w:p>
            <w:pPr>
              <w:widowControl/>
              <w:jc w:val="left"/>
              <w:rPr>
                <w:rFonts w:ascii="宋体" w:hAnsi="宋体" w:cs="宋体"/>
                <w:color w:val="auto"/>
                <w:kern w:val="0"/>
                <w:sz w:val="18"/>
                <w:szCs w:val="18"/>
                <w:highlight w:val="none"/>
              </w:rPr>
            </w:pPr>
            <w:r>
              <w:rPr>
                <w:rFonts w:hint="eastAsia" w:ascii="宋体" w:hAnsi="宋体" w:eastAsia="宋体" w:cs="宋体"/>
                <w:color w:val="auto"/>
                <w:kern w:val="0"/>
                <w:sz w:val="24"/>
                <w:szCs w:val="24"/>
                <w:highlight w:val="none"/>
                <w:lang w:val="en-US" w:eastAsia="zh-CN" w:bidi="ar-SA"/>
              </w:rPr>
              <w:t xml:space="preserve"> </w:t>
            </w:r>
            <w:r>
              <w:rPr>
                <w:rFonts w:hint="eastAsia" w:asciiTheme="minorEastAsia" w:hAnsiTheme="minorEastAsia" w:eastAsiaTheme="minorEastAsia"/>
                <w:color w:val="auto"/>
                <w:sz w:val="18"/>
                <w:szCs w:val="18"/>
                <w:highlight w:val="none"/>
              </w:rPr>
              <w:t>（18）</w:t>
            </w:r>
            <w:r>
              <w:rPr>
                <w:rFonts w:hint="eastAsia" w:asciiTheme="minorEastAsia" w:hAnsiTheme="minorEastAsia" w:eastAsiaTheme="minorEastAsia"/>
                <w:color w:val="auto"/>
                <w:kern w:val="0"/>
                <w:sz w:val="18"/>
                <w:szCs w:val="18"/>
                <w:highlight w:val="none"/>
              </w:rPr>
              <w:t>提供针对本项目所投产品原厂售后服务承诺函并加盖所</w:t>
            </w:r>
            <w:r>
              <w:rPr>
                <w:rFonts w:hint="eastAsia" w:asciiTheme="minorEastAsia" w:hAnsiTheme="minorEastAsia" w:eastAsiaTheme="minorEastAsia"/>
                <w:color w:val="auto"/>
                <w:kern w:val="0"/>
                <w:sz w:val="18"/>
                <w:szCs w:val="18"/>
                <w:highlight w:val="none"/>
                <w:lang w:eastAsia="zh-CN"/>
              </w:rPr>
              <w:t>投</w:t>
            </w:r>
            <w:r>
              <w:rPr>
                <w:rFonts w:hint="eastAsia" w:asciiTheme="minorEastAsia" w:hAnsiTheme="minorEastAsia" w:eastAsiaTheme="minorEastAsia"/>
                <w:color w:val="auto"/>
                <w:kern w:val="0"/>
                <w:sz w:val="18"/>
                <w:szCs w:val="18"/>
                <w:highlight w:val="none"/>
              </w:rPr>
              <w:t>品牌厂商公章。</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只</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电池柜</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内装16只100Ah电池，根据现场设置底座</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服务器机柜</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42U，600</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1000</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2000mm，前后网孔门</w:t>
            </w:r>
            <w:r>
              <w:rPr>
                <w:rFonts w:hint="default" w:ascii="宋体" w:hAnsi="宋体" w:cs="宋体"/>
                <w:color w:val="auto"/>
                <w:kern w:val="0"/>
                <w:sz w:val="18"/>
                <w:szCs w:val="18"/>
                <w:highlight w:val="none"/>
              </w:rPr>
              <w:t>，根据现场设置底座</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电池开关箱</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直流断路器</w:t>
            </w:r>
            <w:r>
              <w:rPr>
                <w:rFonts w:hint="eastAsia" w:ascii="宋体" w:hAnsi="宋体" w:cs="宋体"/>
                <w:color w:val="auto"/>
                <w:kern w:val="0"/>
                <w:sz w:val="18"/>
                <w:szCs w:val="18"/>
                <w:highlight w:val="none"/>
                <w:lang w:val="en-US" w:eastAsia="zh-CN"/>
              </w:rPr>
              <w:t>160</w:t>
            </w:r>
            <w:r>
              <w:rPr>
                <w:rFonts w:hint="eastAsia" w:ascii="宋体" w:hAnsi="宋体" w:cs="宋体"/>
                <w:color w:val="auto"/>
                <w:kern w:val="0"/>
                <w:sz w:val="18"/>
                <w:szCs w:val="18"/>
                <w:highlight w:val="none"/>
              </w:rPr>
              <w:t>A 2个，63A 1个，支持另一组电池转换至新UPS使用，并带安全保护装置</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个</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STS静态转换开关</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32A输入，端子或插头输出</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PDU</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不低于8位，横装或竖装</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台</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8</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UPS输入输出线</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阻燃线缆，规格不低于5</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25mm²</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70</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UPS至电池连接线</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阻燃线缆，规格不低于35 mm²</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95</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机柜线缆</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阻燃线缆，规格不低于3</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4 mm²</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160</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1</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配电开关</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160A/3P</w:t>
            </w:r>
            <w:r>
              <w:rPr>
                <w:rFonts w:hint="eastAsia" w:ascii="宋体" w:hAnsi="宋体" w:cs="宋体"/>
                <w:color w:val="auto"/>
                <w:kern w:val="0"/>
                <w:sz w:val="18"/>
                <w:szCs w:val="18"/>
                <w:highlight w:val="none"/>
                <w:lang w:eastAsia="zh-CN"/>
              </w:rPr>
              <w:t xml:space="preserve"> </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+125A/3P</w:t>
            </w:r>
            <w:r>
              <w:rPr>
                <w:rFonts w:hint="eastAsia" w:ascii="宋体" w:hAnsi="宋体" w:cs="宋体"/>
                <w:color w:val="auto"/>
                <w:kern w:val="0"/>
                <w:sz w:val="18"/>
                <w:szCs w:val="18"/>
                <w:highlight w:val="none"/>
                <w:lang w:eastAsia="zh-CN"/>
              </w:rPr>
              <w:t xml:space="preserve"> </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+32A/1P</w:t>
            </w:r>
            <w:r>
              <w:rPr>
                <w:rFonts w:hint="eastAsia" w:ascii="宋体" w:hAnsi="宋体" w:cs="宋体"/>
                <w:color w:val="auto"/>
                <w:kern w:val="0"/>
                <w:sz w:val="18"/>
                <w:szCs w:val="18"/>
                <w:highlight w:val="none"/>
                <w:lang w:eastAsia="zh-CN"/>
              </w:rPr>
              <w:t xml:space="preserve"> </w:t>
            </w:r>
            <w:r>
              <w:rPr>
                <w:rFonts w:hint="default" w:ascii="宋体" w:hAnsi="宋体" w:cs="宋体"/>
                <w:color w:val="auto"/>
                <w:kern w:val="0"/>
                <w:sz w:val="18"/>
                <w:szCs w:val="18"/>
                <w:highlight w:val="none"/>
              </w:rPr>
              <w:t>4</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2</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封闭桥架</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封闭金属桥架，规格不低于100</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50mm</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米</w:t>
            </w:r>
          </w:p>
        </w:tc>
      </w:tr>
      <w:tr>
        <w:tblPrEx>
          <w:tblCellMar>
            <w:top w:w="0" w:type="dxa"/>
            <w:left w:w="108" w:type="dxa"/>
            <w:bottom w:w="0" w:type="dxa"/>
            <w:right w:w="108" w:type="dxa"/>
          </w:tblCellMar>
        </w:tblPrEx>
        <w:trPr>
          <w:trHeight w:val="516"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3</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静电地板</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600</w:t>
            </w:r>
            <w:r>
              <w:rPr>
                <w:rFonts w:hint="eastAsia" w:ascii="宋体" w:hAnsi="宋体" w:cs="宋体"/>
                <w:color w:val="auto"/>
                <w:kern w:val="0"/>
                <w:sz w:val="18"/>
                <w:szCs w:val="18"/>
                <w:highlight w:val="none"/>
                <w:lang w:eastAsia="zh-CN"/>
              </w:rPr>
              <w:t xml:space="preserve"> </w:t>
            </w:r>
            <w:r>
              <w:rPr>
                <w:rFonts w:hint="eastAsia" w:ascii="宋体" w:hAnsi="宋体" w:cs="宋体"/>
                <w:color w:val="auto"/>
                <w:kern w:val="0"/>
                <w:sz w:val="18"/>
                <w:szCs w:val="18"/>
                <w:highlight w:val="none"/>
              </w:rPr>
              <w:t>35有边</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张</w:t>
            </w:r>
          </w:p>
        </w:tc>
      </w:tr>
      <w:tr>
        <w:tblPrEx>
          <w:tblCellMar>
            <w:top w:w="0" w:type="dxa"/>
            <w:left w:w="108" w:type="dxa"/>
            <w:bottom w:w="0" w:type="dxa"/>
            <w:right w:w="108" w:type="dxa"/>
          </w:tblCellMar>
        </w:tblPrEx>
        <w:trPr>
          <w:trHeight w:val="280" w:hRule="atLeast"/>
        </w:trPr>
        <w:tc>
          <w:tcPr>
            <w:tcW w:w="33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4</w:t>
            </w:r>
          </w:p>
        </w:tc>
        <w:tc>
          <w:tcPr>
            <w:tcW w:w="55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w:t>
            </w:r>
          </w:p>
        </w:tc>
        <w:tc>
          <w:tcPr>
            <w:tcW w:w="343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包含且不限于系统所需线材、配件、施工材料、电池柜移机等</w:t>
            </w:r>
          </w:p>
        </w:tc>
        <w:tc>
          <w:tcPr>
            <w:tcW w:w="3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3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w:t>
            </w:r>
          </w:p>
        </w:tc>
      </w:tr>
    </w:tbl>
    <w:p>
      <w:pPr>
        <w:pStyle w:val="4"/>
        <w:ind w:firstLine="482" w:firstLineChars="200"/>
        <w:rPr>
          <w:b/>
          <w:sz w:val="24"/>
        </w:rPr>
      </w:pPr>
      <w:r>
        <w:rPr>
          <w:rFonts w:hint="eastAsia"/>
          <w:b/>
          <w:sz w:val="24"/>
          <w:lang w:val="en-US" w:eastAsia="zh-CN"/>
        </w:rPr>
        <w:t>三</w:t>
      </w:r>
      <w:r>
        <w:rPr>
          <w:rFonts w:hint="eastAsia"/>
          <w:b/>
          <w:sz w:val="24"/>
        </w:rPr>
        <w:t>、交货期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应在采购合同签订后 </w:t>
      </w:r>
      <w:r>
        <w:rPr>
          <w:rFonts w:hint="eastAsia" w:ascii="宋体" w:hAnsi="宋体" w:cs="宋体"/>
          <w:kern w:val="0"/>
          <w:sz w:val="24"/>
          <w:szCs w:val="24"/>
          <w:u w:val="single"/>
        </w:rPr>
        <w:t xml:space="preserve"> 20 </w:t>
      </w:r>
      <w:r>
        <w:rPr>
          <w:rFonts w:hint="eastAsia" w:ascii="宋体" w:hAnsi="宋体" w:cs="宋体"/>
          <w:kern w:val="0"/>
          <w:sz w:val="24"/>
          <w:szCs w:val="24"/>
        </w:rPr>
        <w:t>个日历日</w:t>
      </w:r>
      <w:r>
        <w:rPr>
          <w:rFonts w:ascii="宋体" w:hAnsi="宋体" w:cs="宋体"/>
          <w:kern w:val="0"/>
          <w:sz w:val="24"/>
          <w:szCs w:val="24"/>
        </w:rPr>
        <w:t>内</w:t>
      </w:r>
      <w:r>
        <w:rPr>
          <w:rFonts w:hint="eastAsia" w:ascii="宋体" w:hAnsi="宋体" w:cs="宋体"/>
          <w:kern w:val="0"/>
          <w:sz w:val="24"/>
          <w:szCs w:val="24"/>
        </w:rPr>
        <w:t>交货并</w:t>
      </w:r>
      <w:r>
        <w:rPr>
          <w:rFonts w:ascii="宋体" w:hAnsi="宋体" w:cs="宋体"/>
          <w:kern w:val="0"/>
          <w:sz w:val="24"/>
          <w:szCs w:val="24"/>
        </w:rPr>
        <w:t>完成</w:t>
      </w:r>
      <w:r>
        <w:rPr>
          <w:rFonts w:hint="eastAsia" w:ascii="宋体" w:hAnsi="宋体" w:cs="宋体"/>
          <w:kern w:val="0"/>
          <w:sz w:val="24"/>
          <w:szCs w:val="24"/>
        </w:rPr>
        <w:t>安装调试。</w:t>
      </w:r>
    </w:p>
    <w:p>
      <w:pPr>
        <w:pStyle w:val="4"/>
        <w:ind w:firstLine="482" w:firstLineChars="200"/>
        <w:rPr>
          <w:b/>
          <w:sz w:val="24"/>
          <w:szCs w:val="24"/>
        </w:rPr>
      </w:pPr>
      <w:r>
        <w:rPr>
          <w:rFonts w:hint="eastAsia"/>
          <w:b/>
          <w:sz w:val="24"/>
          <w:szCs w:val="24"/>
          <w:lang w:val="en-US" w:eastAsia="zh-CN"/>
        </w:rPr>
        <w:t>四</w:t>
      </w:r>
      <w:r>
        <w:rPr>
          <w:rFonts w:hint="eastAsia"/>
          <w:b/>
          <w:sz w:val="24"/>
          <w:szCs w:val="24"/>
        </w:rPr>
        <w:t>、报价要求</w:t>
      </w:r>
    </w:p>
    <w:p>
      <w:pPr>
        <w:snapToGrid w:val="0"/>
        <w:spacing w:line="360" w:lineRule="auto"/>
        <w:ind w:firstLine="480" w:firstLineChars="200"/>
        <w:rPr>
          <w:rFonts w:ascii="宋体" w:hAnsi="宋体"/>
        </w:rPr>
      </w:pPr>
      <w:r>
        <w:rPr>
          <w:rFonts w:hint="eastAsia" w:ascii="宋体" w:hAnsi="宋体" w:cs="宋体"/>
          <w:kern w:val="0"/>
          <w:sz w:val="24"/>
          <w:szCs w:val="24"/>
        </w:rPr>
        <w:t>本次报价须为人民币报价，包含：产品价、运输费（含装卸费）、保险费、安装费、调试费、</w:t>
      </w:r>
      <w:r>
        <w:rPr>
          <w:rFonts w:hint="eastAsia"/>
          <w:sz w:val="24"/>
          <w:szCs w:val="24"/>
        </w:rPr>
        <w:t>售后服务费</w:t>
      </w:r>
      <w:r>
        <w:rPr>
          <w:rFonts w:hint="eastAsia"/>
        </w:rPr>
        <w:t>、</w:t>
      </w:r>
      <w:r>
        <w:rPr>
          <w:rFonts w:hint="eastAsia" w:ascii="宋体" w:hAnsi="宋体" w:cs="宋体"/>
          <w:kern w:val="0"/>
          <w:sz w:val="24"/>
          <w:szCs w:val="24"/>
        </w:rPr>
        <w:t>税费、培训费等货到采购人指定地点的所有费用。</w:t>
      </w:r>
    </w:p>
    <w:p>
      <w:pPr>
        <w:pStyle w:val="4"/>
        <w:ind w:firstLine="482" w:firstLineChars="200"/>
        <w:rPr>
          <w:b/>
          <w:sz w:val="24"/>
          <w:szCs w:val="24"/>
        </w:rPr>
      </w:pPr>
      <w:bookmarkStart w:id="0" w:name="_Toc465087496"/>
      <w:r>
        <w:rPr>
          <w:rFonts w:hint="eastAsia"/>
          <w:b/>
          <w:sz w:val="24"/>
          <w:szCs w:val="24"/>
          <w:lang w:val="en-US" w:eastAsia="zh-CN"/>
        </w:rPr>
        <w:t>五</w:t>
      </w:r>
      <w:r>
        <w:rPr>
          <w:rFonts w:hint="eastAsia"/>
          <w:b/>
          <w:sz w:val="24"/>
          <w:szCs w:val="24"/>
        </w:rPr>
        <w:t>、质量保证及售后服务</w:t>
      </w:r>
      <w:bookmarkEnd w:id="0"/>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（一）产品质量保证期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1、投标人应明确承诺：其投标产品质量保证期达到</w:t>
      </w:r>
      <w:r>
        <w:rPr>
          <w:rFonts w:hint="eastAsia" w:ascii="宋体" w:hAnsi="宋体" w:cs="宋体"/>
          <w:kern w:val="0"/>
          <w:sz w:val="24"/>
          <w:szCs w:val="24"/>
          <w:u w:val="single"/>
        </w:rPr>
        <w:t>3</w:t>
      </w:r>
      <w:r>
        <w:rPr>
          <w:rFonts w:hint="eastAsia" w:ascii="宋体" w:hAnsi="宋体" w:cs="宋体"/>
          <w:kern w:val="0"/>
          <w:sz w:val="24"/>
          <w:szCs w:val="24"/>
        </w:rPr>
        <w:t>年（所有产品）。</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2、投标产品属于国家规定“三包”范围的，其产品质量保证期不得低于“三包”规定。</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3、投标人的质量保证期承诺优于国家“三包”规定的，按投标人实际承诺执行。</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4、投标产品由制造商（指产品生产制造商，或其负责销售、售后服务机构，以下同）负责标准售后服务的，应当在投标文件中予以明确说明,并附制造商售后服务承诺。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1、投标人和制造商在质量保证期内应当为采购人提供以下技术支持和服务：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（1）电话咨询</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（2）现场响应</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采购人遇到使用及技术问题，电话咨询不能解决的，中标人和制造商应在</w:t>
      </w:r>
      <w:r>
        <w:rPr>
          <w:rFonts w:hint="eastAsia" w:ascii="宋体" w:hAnsi="宋体" w:cs="宋体"/>
          <w:kern w:val="0"/>
          <w:sz w:val="24"/>
          <w:szCs w:val="24"/>
          <w:u w:val="single"/>
        </w:rPr>
        <w:t xml:space="preserve"> 2  </w:t>
      </w:r>
      <w:r>
        <w:rPr>
          <w:rFonts w:hint="eastAsia" w:ascii="宋体" w:hAnsi="宋体" w:cs="宋体"/>
          <w:kern w:val="0"/>
          <w:sz w:val="24"/>
          <w:szCs w:val="24"/>
        </w:rPr>
        <w:t>小内到达现场进行处理，确保产品正常工作；无法在</w:t>
      </w:r>
      <w:r>
        <w:rPr>
          <w:rFonts w:hint="eastAsia" w:ascii="宋体" w:hAnsi="宋体" w:cs="宋体"/>
          <w:kern w:val="0"/>
          <w:sz w:val="24"/>
          <w:szCs w:val="24"/>
          <w:u w:val="single"/>
        </w:rPr>
        <w:t xml:space="preserve"> 24 </w:t>
      </w:r>
      <w:r>
        <w:rPr>
          <w:rFonts w:hint="eastAsia" w:ascii="宋体" w:hAnsi="宋体" w:cs="宋体"/>
          <w:kern w:val="0"/>
          <w:sz w:val="24"/>
          <w:szCs w:val="24"/>
        </w:rPr>
        <w:t>小时内解决的，应在</w:t>
      </w:r>
      <w:r>
        <w:rPr>
          <w:rFonts w:hint="eastAsia" w:ascii="宋体" w:hAnsi="宋体" w:cs="宋体"/>
          <w:kern w:val="0"/>
          <w:sz w:val="24"/>
          <w:szCs w:val="24"/>
          <w:u w:val="single"/>
        </w:rPr>
        <w:t xml:space="preserve">  2   </w:t>
      </w:r>
      <w:r>
        <w:rPr>
          <w:rFonts w:hint="eastAsia" w:ascii="宋体" w:hAnsi="宋体" w:cs="宋体"/>
          <w:kern w:val="0"/>
          <w:sz w:val="24"/>
          <w:szCs w:val="24"/>
        </w:rPr>
        <w:t>小时内提供备用产品，使采购人能够正常使用。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（3）技术升级</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（1）质量保证期过后，供应商和制造商应同样提供免费电话咨询服务，并应承诺提供产品上门维护服务。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（2）质量保证期过后，采购人需要继续由原供应商和制造商提供售后服务的，该供应商和制造商应以优惠价格提供售后服务。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pStyle w:val="4"/>
        <w:ind w:firstLine="482" w:firstLineChars="200"/>
        <w:rPr>
          <w:b/>
          <w:sz w:val="24"/>
          <w:szCs w:val="24"/>
        </w:rPr>
      </w:pPr>
      <w:bookmarkStart w:id="1" w:name="_Toc465087497"/>
      <w:bookmarkStart w:id="2" w:name="_Toc267320051"/>
      <w:r>
        <w:rPr>
          <w:rFonts w:hint="eastAsia"/>
          <w:b/>
          <w:sz w:val="24"/>
          <w:szCs w:val="24"/>
          <w:lang w:val="en-US" w:eastAsia="zh-CN"/>
        </w:rPr>
        <w:t>六</w:t>
      </w:r>
      <w:r>
        <w:rPr>
          <w:rFonts w:hint="eastAsia"/>
          <w:b/>
          <w:sz w:val="24"/>
          <w:szCs w:val="24"/>
        </w:rPr>
        <w:t>、付款方式</w:t>
      </w:r>
      <w:bookmarkEnd w:id="1"/>
      <w:bookmarkEnd w:id="2"/>
    </w:p>
    <w:p>
      <w:pPr>
        <w:pStyle w:val="2"/>
      </w:pPr>
      <w:r>
        <w:rPr>
          <w:rFonts w:hint="eastAsia" w:ascii="宋体" w:hAnsi="宋体" w:cs="宋体"/>
          <w:kern w:val="0"/>
          <w:sz w:val="24"/>
          <w:szCs w:val="24"/>
        </w:rPr>
        <w:t>验收合格后，</w:t>
      </w:r>
      <w:r>
        <w:rPr>
          <w:rFonts w:hint="eastAsia" w:ascii="宋体" w:hAnsi="宋体" w:cs="宋体"/>
          <w:kern w:val="0"/>
          <w:sz w:val="24"/>
          <w:szCs w:val="24"/>
          <w:lang w:val="en-US" w:eastAsia="zh-CN"/>
        </w:rPr>
        <w:t>付款100%。</w:t>
      </w: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105765E1"/>
    <w:rsid w:val="194F58BE"/>
    <w:rsid w:val="1B300109"/>
    <w:rsid w:val="26C002C6"/>
    <w:rsid w:val="2CCD64E8"/>
    <w:rsid w:val="2E066BA3"/>
    <w:rsid w:val="462F230B"/>
    <w:rsid w:val="54EA0C30"/>
    <w:rsid w:val="5B1C6621"/>
    <w:rsid w:val="64C50CB4"/>
    <w:rsid w:val="65EE5B34"/>
    <w:rsid w:val="710C1EC5"/>
    <w:rsid w:val="74A565C1"/>
    <w:rsid w:val="77F734C0"/>
    <w:rsid w:val="7B761A97"/>
    <w:rsid w:val="7CC9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unhideWhenUsed/>
    <w:qFormat/>
    <w:uiPriority w:val="99"/>
    <w:pPr>
      <w:snapToGrid w:val="0"/>
      <w:spacing w:line="440" w:lineRule="exact"/>
    </w:pPr>
    <w:rPr>
      <w:rFonts w:ascii="Times New Roman" w:hAnsi="Times New Roman" w:eastAsia="宋体" w:cs="Times New Roman"/>
      <w:kern w:val="0"/>
      <w:sz w:val="20"/>
      <w:szCs w:val="20"/>
    </w:rPr>
  </w:style>
  <w:style w:type="paragraph" w:customStyle="1" w:styleId="3">
    <w:name w:val="引用1"/>
    <w:basedOn w:val="1"/>
    <w:next w:val="1"/>
    <w:qFormat/>
    <w:uiPriority w:val="99"/>
    <w:rPr>
      <w:rFonts w:ascii="Calibri" w:hAnsi="Calibri"/>
      <w:i/>
      <w:iCs/>
      <w:color w:val="000000"/>
      <w:kern w:val="0"/>
      <w:sz w:val="22"/>
      <w:szCs w:val="20"/>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annotation text"/>
    <w:basedOn w:val="1"/>
    <w:semiHidden/>
    <w:unhideWhenUsed/>
    <w:uiPriority w:val="99"/>
    <w:pPr>
      <w:jc w:val="left"/>
    </w:pPr>
  </w:style>
  <w:style w:type="paragraph" w:styleId="7">
    <w:name w:val="Body Text Indent"/>
    <w:basedOn w:val="1"/>
    <w:link w:val="20"/>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8">
    <w:name w:val="Plain Text"/>
    <w:basedOn w:val="1"/>
    <w:link w:val="23"/>
    <w:qFormat/>
    <w:uiPriority w:val="0"/>
    <w:rPr>
      <w:rFonts w:ascii="宋体" w:hAnsi="Courier New" w:eastAsia="宋体" w:cs="Times New Roman"/>
      <w:szCs w:val="20"/>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3">
    <w:name w:val="Table Grid"/>
    <w:basedOn w:val="12"/>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正文文本缩进 Char"/>
    <w:basedOn w:val="14"/>
    <w:link w:val="7"/>
    <w:qFormat/>
    <w:uiPriority w:val="0"/>
    <w:rPr>
      <w:rFonts w:ascii="宋体" w:hAnsi="宋体" w:eastAsia="宋体" w:cs="Times New Roman"/>
      <w:sz w:val="28"/>
      <w:szCs w:val="24"/>
    </w:rPr>
  </w:style>
  <w:style w:type="character" w:customStyle="1" w:styleId="20">
    <w:name w:val="正文文本缩进 Char1"/>
    <w:basedOn w:val="14"/>
    <w:link w:val="7"/>
    <w:semiHidden/>
    <w:qFormat/>
    <w:uiPriority w:val="99"/>
  </w:style>
  <w:style w:type="character" w:customStyle="1" w:styleId="21">
    <w:name w:val="font1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b/>
      <w:bCs/>
      <w:color w:val="000000"/>
      <w:sz w:val="24"/>
      <w:szCs w:val="24"/>
      <w:u w:val="none"/>
    </w:rPr>
  </w:style>
  <w:style w:type="character" w:customStyle="1" w:styleId="23">
    <w:name w:val="纯文本 Char"/>
    <w:basedOn w:val="14"/>
    <w:link w:val="8"/>
    <w:qFormat/>
    <w:uiPriority w:val="0"/>
    <w:rPr>
      <w:rFonts w:ascii="宋体" w:hAnsi="Courier New" w:eastAsia="宋体" w:cs="Times New Roman"/>
      <w:szCs w:val="20"/>
    </w:rPr>
  </w:style>
  <w:style w:type="character" w:customStyle="1" w:styleId="24">
    <w:name w:val="正文文本 Char"/>
    <w:basedOn w:val="14"/>
    <w:link w:val="2"/>
    <w:qFormat/>
    <w:uiPriority w:val="99"/>
    <w:rPr>
      <w:rFonts w:ascii="Times New Roman" w:hAnsi="Times New Roman" w:eastAsia="宋体" w:cs="Times New Roman"/>
      <w:kern w:val="0"/>
      <w:sz w:val="20"/>
      <w:szCs w:val="20"/>
    </w:rPr>
  </w:style>
  <w:style w:type="character" w:customStyle="1" w:styleId="25">
    <w:name w:val="font41"/>
    <w:basedOn w:val="14"/>
    <w:qFormat/>
    <w:uiPriority w:val="0"/>
    <w:rPr>
      <w:rFonts w:hint="default" w:ascii="Times New Roman" w:hAnsi="Times New Roman" w:cs="Times New Roman"/>
      <w:color w:val="000000"/>
      <w:sz w:val="20"/>
      <w:szCs w:val="20"/>
      <w:u w:val="none"/>
    </w:rPr>
  </w:style>
  <w:style w:type="character" w:customStyle="1" w:styleId="26">
    <w:name w:val="font31"/>
    <w:basedOn w:val="14"/>
    <w:qFormat/>
    <w:uiPriority w:val="0"/>
    <w:rPr>
      <w:rFonts w:hint="eastAsia" w:ascii="宋体" w:hAnsi="宋体" w:eastAsia="宋体" w:cs="宋体"/>
      <w:color w:val="000000"/>
      <w:sz w:val="20"/>
      <w:szCs w:val="20"/>
      <w:u w:val="none"/>
    </w:rPr>
  </w:style>
  <w:style w:type="paragraph" w:styleId="27">
    <w:name w:val="List Paragraph"/>
    <w:basedOn w:val="1"/>
    <w:qFormat/>
    <w:uiPriority w:val="34"/>
    <w:pPr>
      <w:ind w:firstLine="420" w:firstLineChars="200"/>
    </w:pPr>
    <w:rPr>
      <w:rFonts w:ascii="仿宋" w:hAnsi="仿宋" w:eastAsia="仿宋" w:cs="Times New Roman"/>
      <w:szCs w:val="24"/>
    </w:rPr>
  </w:style>
  <w:style w:type="character" w:customStyle="1" w:styleId="28">
    <w:name w:val="fontstyle01"/>
    <w:basedOn w:val="14"/>
    <w:qFormat/>
    <w:uiPriority w:val="0"/>
    <w:rPr>
      <w:rFonts w:hint="eastAsia" w:ascii="宋体" w:hAnsi="宋体" w:eastAsia="宋体"/>
      <w:color w:val="000000"/>
      <w:sz w:val="18"/>
      <w:szCs w:val="18"/>
    </w:rPr>
  </w:style>
  <w:style w:type="character" w:customStyle="1" w:styleId="29">
    <w:name w:val="font71"/>
    <w:basedOn w:val="14"/>
    <w:qFormat/>
    <w:uiPriority w:val="0"/>
    <w:rPr>
      <w:rFonts w:hint="default" w:ascii="Times New Roman" w:hAnsi="Times New Roman" w:cs="Times New Roman"/>
      <w:color w:val="000000"/>
      <w:sz w:val="16"/>
      <w:szCs w:val="16"/>
      <w:u w:val="none"/>
    </w:rPr>
  </w:style>
  <w:style w:type="character" w:customStyle="1" w:styleId="30">
    <w:name w:val="font61"/>
    <w:basedOn w:val="1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3996</Words>
  <Characters>4381</Characters>
  <Lines>7</Lines>
  <Paragraphs>2</Paragraphs>
  <TotalTime>2</TotalTime>
  <ScaleCrop>false</ScaleCrop>
  <LinksUpToDate>false</LinksUpToDate>
  <CharactersWithSpaces>4483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2023-03-13T01:53:30Z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A3609AFDBB90403D82F33A90CD7D05CA</vt:lpwstr>
  </property>
</Properties>
</file>