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重庆医科大学</w:t>
      </w:r>
      <w:r>
        <w:rPr>
          <w:rFonts w:hint="eastAsia"/>
          <w:b/>
          <w:sz w:val="44"/>
          <w:szCs w:val="44"/>
          <w:lang w:eastAsia="zh-CN"/>
        </w:rPr>
        <w:t>附属</w:t>
      </w:r>
      <w:r>
        <w:rPr>
          <w:rFonts w:hint="eastAsia"/>
          <w:b/>
          <w:sz w:val="44"/>
          <w:szCs w:val="44"/>
        </w:rPr>
        <w:t>口腔医院</w:t>
      </w:r>
    </w:p>
    <w:p>
      <w:pPr>
        <w:jc w:val="center"/>
        <w:rPr>
          <w:b/>
          <w:sz w:val="44"/>
          <w:szCs w:val="44"/>
        </w:rPr>
      </w:pPr>
      <w:r>
        <w:rPr>
          <w:rFonts w:hint="eastAsia"/>
          <w:b/>
          <w:sz w:val="44"/>
          <w:szCs w:val="44"/>
        </w:rPr>
        <w:t>医疗服务能力评估系统项目需求询价公告</w:t>
      </w:r>
    </w:p>
    <w:p>
      <w:pPr>
        <w:jc w:val="left"/>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shd w:val="clear" w:color="auto" w:fill="FFFFFF"/>
        </w:rPr>
        <w:t>一、各供应商根据询价公告要求报价。</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shd w:val="clear" w:color="auto" w:fill="FFFFFF"/>
        </w:rPr>
        <w:t>二、报价需按照后附要求格式报价，对技术要求响应情况进行逐条备注，如“无差异”或“有差异，差异是”。本次询价为确定预算需要，非正式采购，技术要求为初步要求，最终以正</w:t>
      </w:r>
      <w:r>
        <w:rPr>
          <w:rFonts w:hint="eastAsia" w:cs="Tahoma" w:asciiTheme="minorEastAsia" w:hAnsiTheme="minorEastAsia"/>
          <w:b/>
          <w:color w:val="333333"/>
          <w:sz w:val="28"/>
          <w:szCs w:val="28"/>
          <w:highlight w:val="none"/>
          <w:shd w:val="clear" w:color="auto" w:fill="FFFFFF"/>
        </w:rPr>
        <w:t>式发布招标公告的技术要求为准。</w:t>
      </w:r>
    </w:p>
    <w:p>
      <w:pPr>
        <w:rPr>
          <w:rFonts w:hint="eastAsia" w:cs="Tahoma" w:asciiTheme="minorEastAsia" w:hAnsiTheme="minorEastAsia" w:eastAsiaTheme="minorEastAsia"/>
          <w:b/>
          <w:color w:val="333333"/>
          <w:sz w:val="28"/>
          <w:szCs w:val="28"/>
          <w:highlight w:val="none"/>
          <w:shd w:val="clear" w:color="auto" w:fill="FFFFFF"/>
          <w:lang w:eastAsia="zh-CN"/>
        </w:rPr>
      </w:pPr>
      <w:r>
        <w:rPr>
          <w:rFonts w:hint="eastAsia" w:cs="Tahoma" w:asciiTheme="minorEastAsia" w:hAnsiTheme="minorEastAsia"/>
          <w:b/>
          <w:color w:val="333333"/>
          <w:sz w:val="28"/>
          <w:szCs w:val="28"/>
          <w:highlight w:val="none"/>
          <w:shd w:val="clear" w:color="auto" w:fill="FFFFFF"/>
        </w:rPr>
        <w:t>三、需求公告时间202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10</w:t>
      </w:r>
      <w:r>
        <w:rPr>
          <w:rFonts w:hint="eastAsia" w:cs="Tahoma" w:asciiTheme="minorEastAsia" w:hAnsiTheme="minorEastAsia"/>
          <w:b/>
          <w:color w:val="333333"/>
          <w:sz w:val="28"/>
          <w:szCs w:val="28"/>
          <w:highlight w:val="none"/>
          <w:shd w:val="clear" w:color="auto" w:fill="FFFFFF"/>
        </w:rPr>
        <w:t>日至202</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年</w:t>
      </w:r>
      <w:r>
        <w:rPr>
          <w:rFonts w:hint="eastAsia" w:cs="Tahoma" w:asciiTheme="minorEastAsia" w:hAnsiTheme="minorEastAsia"/>
          <w:b/>
          <w:color w:val="333333"/>
          <w:sz w:val="28"/>
          <w:szCs w:val="28"/>
          <w:highlight w:val="none"/>
          <w:shd w:val="clear" w:color="auto" w:fill="FFFFFF"/>
          <w:lang w:val="en-US" w:eastAsia="zh-CN"/>
        </w:rPr>
        <w:t>3</w:t>
      </w:r>
      <w:r>
        <w:rPr>
          <w:rFonts w:hint="eastAsia" w:cs="Tahoma" w:asciiTheme="minorEastAsia" w:hAnsiTheme="minorEastAsia"/>
          <w:b/>
          <w:color w:val="333333"/>
          <w:sz w:val="28"/>
          <w:szCs w:val="28"/>
          <w:highlight w:val="none"/>
          <w:shd w:val="clear" w:color="auto" w:fill="FFFFFF"/>
        </w:rPr>
        <w:t>月</w:t>
      </w:r>
      <w:r>
        <w:rPr>
          <w:rFonts w:hint="eastAsia" w:cs="Tahoma" w:asciiTheme="minorEastAsia" w:hAnsiTheme="minorEastAsia"/>
          <w:b/>
          <w:color w:val="333333"/>
          <w:sz w:val="28"/>
          <w:szCs w:val="28"/>
          <w:highlight w:val="none"/>
          <w:shd w:val="clear" w:color="auto" w:fill="FFFFFF"/>
          <w:lang w:val="en-US" w:eastAsia="zh-CN"/>
        </w:rPr>
        <w:t>16</w:t>
      </w:r>
      <w:bookmarkStart w:id="30" w:name="_GoBack"/>
      <w:bookmarkEnd w:id="30"/>
      <w:r>
        <w:rPr>
          <w:rFonts w:hint="eastAsia" w:cs="Tahoma" w:asciiTheme="minorEastAsia" w:hAnsiTheme="minorEastAsia"/>
          <w:b/>
          <w:color w:val="333333"/>
          <w:sz w:val="28"/>
          <w:szCs w:val="28"/>
          <w:highlight w:val="none"/>
          <w:shd w:val="clear" w:color="auto" w:fill="FFFFFF"/>
        </w:rPr>
        <w:t>日17:30止</w:t>
      </w:r>
      <w:r>
        <w:rPr>
          <w:rFonts w:hint="eastAsia" w:cs="Tahoma" w:asciiTheme="minorEastAsia" w:hAnsiTheme="minorEastAsia"/>
          <w:b/>
          <w:color w:val="333333"/>
          <w:sz w:val="28"/>
          <w:szCs w:val="28"/>
          <w:highlight w:val="none"/>
          <w:shd w:val="clear" w:color="auto" w:fill="FFFFFF"/>
          <w:lang w:eastAsia="zh-CN"/>
        </w:rPr>
        <w:t>；</w:t>
      </w:r>
    </w:p>
    <w:p>
      <w:pPr>
        <w:rPr>
          <w:rFonts w:cs="Tahoma" w:asciiTheme="minorEastAsia" w:hAnsiTheme="minorEastAsia"/>
          <w:b/>
          <w:color w:val="333333"/>
          <w:sz w:val="28"/>
          <w:szCs w:val="28"/>
          <w:highlight w:val="none"/>
          <w:shd w:val="clear" w:color="auto" w:fill="FFFFFF"/>
        </w:rPr>
      </w:pPr>
      <w:r>
        <w:rPr>
          <w:rFonts w:hint="eastAsia" w:cs="Tahoma" w:asciiTheme="minorEastAsia" w:hAnsiTheme="minorEastAsia"/>
          <w:b/>
          <w:color w:val="333333"/>
          <w:sz w:val="28"/>
          <w:szCs w:val="28"/>
          <w:highlight w:val="none"/>
          <w:shd w:val="clear" w:color="auto" w:fill="FFFFFF"/>
        </w:rPr>
        <w:t>四、报价（需盖章PDF或图片电子版，按照后附报价格式要求）发送：</w:t>
      </w:r>
      <w:r>
        <w:rPr>
          <w:highlight w:val="none"/>
        </w:rPr>
        <w:fldChar w:fldCharType="begin"/>
      </w:r>
      <w:r>
        <w:rPr>
          <w:highlight w:val="none"/>
        </w:rPr>
        <w:instrText xml:space="preserve"> HYPERLINK "mailto:sjk806@163.com" </w:instrText>
      </w:r>
      <w:r>
        <w:rPr>
          <w:highlight w:val="none"/>
        </w:rPr>
        <w:fldChar w:fldCharType="separate"/>
      </w:r>
      <w:r>
        <w:rPr>
          <w:rFonts w:hint="eastAsia" w:cs="Tahoma" w:asciiTheme="minorEastAsia" w:hAnsiTheme="minorEastAsia"/>
          <w:b/>
          <w:color w:val="333333"/>
          <w:sz w:val="28"/>
          <w:szCs w:val="28"/>
          <w:highlight w:val="none"/>
          <w:shd w:val="clear" w:color="auto" w:fill="FFFFFF"/>
        </w:rPr>
        <w:t>sjk806@163.com</w:t>
      </w:r>
      <w:r>
        <w:rPr>
          <w:rFonts w:hint="eastAsia" w:cs="Tahoma" w:asciiTheme="minorEastAsia" w:hAnsiTheme="minorEastAsia"/>
          <w:b/>
          <w:color w:val="333333"/>
          <w:sz w:val="28"/>
          <w:szCs w:val="28"/>
          <w:highlight w:val="none"/>
          <w:shd w:val="clear" w:color="auto" w:fill="FFFFFF"/>
        </w:rPr>
        <w:fldChar w:fldCharType="end"/>
      </w:r>
      <w:r>
        <w:rPr>
          <w:rFonts w:hint="eastAsia" w:cs="Tahoma" w:asciiTheme="minorEastAsia" w:hAnsiTheme="minorEastAsia"/>
          <w:b/>
          <w:color w:val="333333"/>
          <w:sz w:val="28"/>
          <w:szCs w:val="28"/>
          <w:highlight w:val="none"/>
          <w:shd w:val="clear" w:color="auto" w:fill="FFFFFF"/>
        </w:rPr>
        <w:t>，报价邮件名称和文件名称需写上《</w:t>
      </w:r>
      <w:r>
        <w:rPr>
          <w:rFonts w:hint="eastAsia" w:cs="Tahoma" w:asciiTheme="minorEastAsia" w:hAnsiTheme="minorEastAsia"/>
          <w:b/>
          <w:color w:val="333333"/>
          <w:sz w:val="28"/>
          <w:szCs w:val="28"/>
          <w:highlight w:val="none"/>
          <w:u w:val="single"/>
          <w:shd w:val="clear" w:color="auto" w:fill="FFFFFF"/>
        </w:rPr>
        <w:t xml:space="preserve">       </w:t>
      </w:r>
      <w:r>
        <w:rPr>
          <w:rFonts w:hint="eastAsia" w:cs="Tahoma" w:asciiTheme="minorEastAsia" w:hAnsiTheme="minorEastAsia"/>
          <w:b/>
          <w:color w:val="333333"/>
          <w:sz w:val="28"/>
          <w:szCs w:val="28"/>
          <w:highlight w:val="none"/>
          <w:shd w:val="clear" w:color="auto" w:fill="FFFFFF"/>
        </w:rPr>
        <w:t>公司</w:t>
      </w:r>
      <w:r>
        <w:rPr>
          <w:rFonts w:hint="eastAsia" w:cs="Tahoma" w:asciiTheme="minorEastAsia" w:hAnsiTheme="minorEastAsia"/>
          <w:b/>
          <w:color w:val="333333"/>
          <w:sz w:val="28"/>
          <w:szCs w:val="28"/>
          <w:highlight w:val="none"/>
          <w:shd w:val="clear" w:color="auto" w:fill="FFFFFF"/>
          <w:lang w:eastAsia="zh-CN"/>
        </w:rPr>
        <w:t>重庆医科大学附属口腔</w:t>
      </w:r>
      <w:r>
        <w:rPr>
          <w:rFonts w:hint="eastAsia" w:cs="Tahoma" w:asciiTheme="minorEastAsia" w:hAnsiTheme="minorEastAsia"/>
          <w:b/>
          <w:color w:val="333333"/>
          <w:sz w:val="28"/>
          <w:szCs w:val="28"/>
          <w:highlight w:val="none"/>
          <w:shd w:val="clear" w:color="auto" w:fill="FFFFFF"/>
        </w:rPr>
        <w:t>医院医疗服务能力评估系统项目报价表》。</w:t>
      </w:r>
    </w:p>
    <w:p>
      <w:pPr>
        <w:rPr>
          <w:rFonts w:cs="Tahoma" w:asciiTheme="minorEastAsia" w:hAnsiTheme="minorEastAsia"/>
          <w:b/>
          <w:color w:val="333333"/>
          <w:sz w:val="28"/>
          <w:szCs w:val="28"/>
          <w:shd w:val="clear" w:color="auto" w:fill="FFFFFF"/>
        </w:rPr>
      </w:pPr>
      <w:r>
        <w:rPr>
          <w:rFonts w:hint="eastAsia" w:cs="Tahoma" w:asciiTheme="minorEastAsia" w:hAnsiTheme="minorEastAsia"/>
          <w:b/>
          <w:color w:val="333333"/>
          <w:sz w:val="28"/>
          <w:szCs w:val="28"/>
          <w:highlight w:val="none"/>
          <w:shd w:val="clear" w:color="auto" w:fill="FFFFFF"/>
        </w:rPr>
        <w:t>五、重庆医科大学附属口腔医院,采购联系人：陈老师023-88860001,技术联系人:</w:t>
      </w:r>
      <w:r>
        <w:rPr>
          <w:rFonts w:hint="eastAsia" w:cs="Tahoma" w:asciiTheme="minorEastAsia" w:hAnsiTheme="minorEastAsia"/>
          <w:b/>
          <w:color w:val="333333"/>
          <w:sz w:val="28"/>
          <w:szCs w:val="28"/>
          <w:highlight w:val="none"/>
          <w:shd w:val="clear" w:color="auto" w:fill="FFFFFF"/>
          <w:lang w:val="en-US" w:eastAsia="zh-CN"/>
        </w:rPr>
        <w:t>罗老师</w:t>
      </w:r>
      <w:r>
        <w:rPr>
          <w:rFonts w:hint="eastAsia" w:cs="Tahoma" w:asciiTheme="minorEastAsia" w:hAnsiTheme="minorEastAsia"/>
          <w:b/>
          <w:color w:val="333333"/>
          <w:sz w:val="28"/>
          <w:szCs w:val="28"/>
          <w:highlight w:val="none"/>
          <w:shd w:val="clear" w:color="auto" w:fill="FFFFFF"/>
        </w:rPr>
        <w:t>023-88860</w:t>
      </w:r>
      <w:r>
        <w:rPr>
          <w:rFonts w:hint="eastAsia" w:cs="Tahoma" w:asciiTheme="minorEastAsia" w:hAnsiTheme="minorEastAsia"/>
          <w:b/>
          <w:color w:val="333333"/>
          <w:sz w:val="28"/>
          <w:szCs w:val="28"/>
          <w:highlight w:val="none"/>
          <w:shd w:val="clear" w:color="auto" w:fill="FFFFFF"/>
          <w:lang w:val="en-US" w:eastAsia="zh-CN"/>
        </w:rPr>
        <w:t>200</w:t>
      </w:r>
      <w:r>
        <w:rPr>
          <w:rFonts w:hint="eastAsia" w:cs="Tahoma" w:asciiTheme="minorEastAsia" w:hAnsiTheme="minorEastAsia"/>
          <w:b/>
          <w:color w:val="333333"/>
          <w:sz w:val="28"/>
          <w:szCs w:val="28"/>
          <w:highlight w:val="none"/>
          <w:shd w:val="clear" w:color="auto" w:fill="FFFFFF"/>
        </w:rPr>
        <w:t>。</w:t>
      </w:r>
    </w:p>
    <w:p>
      <w:pPr>
        <w:jc w:val="center"/>
        <w:rPr>
          <w:b/>
          <w:color w:val="000000"/>
          <w:sz w:val="28"/>
          <w:szCs w:val="28"/>
        </w:rPr>
      </w:pPr>
      <w:r>
        <w:rPr>
          <w:rFonts w:hint="eastAsia" w:ascii="Calibri" w:hAnsi="Calibri" w:eastAsia="宋体" w:cs="Times New Roman"/>
          <w:b/>
          <w:color w:val="000000"/>
          <w:sz w:val="28"/>
          <w:szCs w:val="28"/>
          <w:lang w:val="en-US" w:eastAsia="zh-CN"/>
        </w:rPr>
        <w:t xml:space="preserve"> 重医口腔医院</w:t>
      </w:r>
      <w:r>
        <w:rPr>
          <w:rFonts w:hint="eastAsia" w:ascii="Calibri" w:hAnsi="Calibri" w:eastAsia="宋体" w:cs="Times New Roman"/>
          <w:b/>
          <w:color w:val="000000"/>
          <w:sz w:val="28"/>
          <w:szCs w:val="28"/>
        </w:rPr>
        <w:t>医疗服务能力评估系统项目采购项目</w:t>
      </w:r>
    </w:p>
    <w:tbl>
      <w:tblPr>
        <w:tblStyle w:val="14"/>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报价单位名称：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spacing w:line="276" w:lineRule="auto"/>
              <w:jc w:val="left"/>
              <w:rPr>
                <w:rFonts w:ascii="宋体" w:hAnsi="宋体"/>
                <w:b/>
                <w:sz w:val="24"/>
                <w:szCs w:val="24"/>
              </w:rPr>
            </w:pPr>
            <w:r>
              <w:rPr>
                <w:rFonts w:hint="eastAsia" w:ascii="宋体" w:hAnsi="宋体" w:eastAsia="宋体" w:cs="宋体"/>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885" w:type="dxa"/>
            <w:gridSpan w:val="2"/>
            <w:vAlign w:val="center"/>
          </w:tcPr>
          <w:p>
            <w:pPr>
              <w:tabs>
                <w:tab w:val="left" w:pos="6300"/>
              </w:tabs>
              <w:snapToGrid w:val="0"/>
              <w:jc w:val="left"/>
              <w:rPr>
                <w:rFonts w:hint="default" w:ascii="宋体" w:hAnsi="宋体" w:eastAsia="宋体" w:cs="宋体"/>
                <w:sz w:val="24"/>
                <w:szCs w:val="24"/>
                <w:lang w:val="en-US"/>
              </w:rPr>
            </w:pPr>
            <w:r>
              <w:rPr>
                <w:rFonts w:hint="eastAsia" w:ascii="宋体" w:hAnsi="宋体" w:eastAsia="宋体" w:cs="宋体"/>
                <w:sz w:val="24"/>
                <w:szCs w:val="24"/>
                <w:lang w:val="en-US" w:eastAsia="zh-CN"/>
              </w:rPr>
              <w:t>报价企业性质：    （大型/中型/小型/微型）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5" w:type="dxa"/>
            <w:gridSpan w:val="2"/>
            <w:vAlign w:val="center"/>
          </w:tcPr>
          <w:p>
            <w:pPr>
              <w:tabs>
                <w:tab w:val="left" w:pos="6300"/>
              </w:tabs>
              <w:snapToGrid w:val="0"/>
              <w:jc w:val="left"/>
              <w:rPr>
                <w:rFonts w:hint="eastAsia" w:ascii="宋体" w:hAnsi="宋体" w:eastAsia="宋体" w:cs="宋体"/>
                <w:sz w:val="24"/>
                <w:szCs w:val="24"/>
                <w:lang w:eastAsia="zh-CN"/>
              </w:rPr>
            </w:pPr>
            <w:r>
              <w:rPr>
                <w:rFonts w:hint="eastAsia" w:ascii="宋体" w:hAnsi="宋体" w:eastAsia="宋体" w:cs="宋体"/>
                <w:sz w:val="24"/>
                <w:szCs w:val="24"/>
              </w:rPr>
              <w:t>报价：</w:t>
            </w:r>
            <w:r>
              <w:rPr>
                <w:rFonts w:hint="eastAsia" w:ascii="宋体" w:hAnsi="宋体" w:eastAsia="宋体" w:cs="宋体"/>
                <w:sz w:val="24"/>
                <w:szCs w:val="24"/>
                <w:lang w:val="en-US" w:eastAsia="zh-CN"/>
              </w:rPr>
              <w:t>总价</w:t>
            </w:r>
            <w:r>
              <w:rPr>
                <w:rFonts w:hint="eastAsia" w:ascii="宋体" w:hAnsi="宋体" w:eastAsia="宋体" w:cs="宋体"/>
                <w:sz w:val="24"/>
                <w:szCs w:val="24"/>
              </w:rPr>
              <w:t xml:space="preserve">     元</w:t>
            </w:r>
            <w:r>
              <w:rPr>
                <w:rFonts w:hint="eastAsia" w:ascii="宋体" w:hAnsi="宋体" w:eastAsia="宋体" w:cs="宋体"/>
                <w:b/>
                <w:bCs/>
                <w:color w:val="FF0000"/>
                <w:sz w:val="24"/>
                <w:szCs w:val="24"/>
              </w:rPr>
              <w:t>（</w:t>
            </w:r>
            <w:r>
              <w:rPr>
                <w:rFonts w:hint="eastAsia" w:ascii="宋体" w:hAnsi="宋体" w:eastAsia="宋体" w:cs="宋体"/>
                <w:b/>
                <w:bCs/>
                <w:color w:val="FF0000"/>
                <w:sz w:val="24"/>
                <w:szCs w:val="24"/>
                <w:lang w:val="en-US" w:eastAsia="zh-CN"/>
              </w:rPr>
              <w:t>附分项报价明细，格式自拟</w:t>
            </w:r>
            <w:r>
              <w:rPr>
                <w:rFonts w:hint="eastAsia" w:ascii="宋体" w:hAnsi="宋体" w:eastAsia="宋体" w:cs="宋体"/>
                <w:b/>
                <w:bCs/>
                <w:color w:val="FF0000"/>
                <w:sz w:val="24"/>
                <w:szCs w:val="24"/>
              </w:rPr>
              <w:t>）</w:t>
            </w:r>
            <w:r>
              <w:rPr>
                <w:rFonts w:hint="eastAsia" w:ascii="宋体" w:hAnsi="宋体" w:eastAsia="宋体" w:cs="宋体"/>
                <w:sz w:val="24"/>
                <w:szCs w:val="24"/>
              </w:rPr>
              <w:t>，</w:t>
            </w:r>
            <w:r>
              <w:rPr>
                <w:rFonts w:ascii="宋体" w:hAnsi="宋体" w:eastAsia="宋体" w:cs="宋体"/>
                <w:sz w:val="24"/>
                <w:szCs w:val="24"/>
              </w:rPr>
              <w:t>报价需含</w:t>
            </w:r>
            <w:r>
              <w:rPr>
                <w:rFonts w:hint="eastAsia" w:ascii="宋体" w:hAnsi="宋体" w:eastAsia="宋体" w:cs="宋体"/>
                <w:sz w:val="24"/>
                <w:szCs w:val="24"/>
              </w:rPr>
              <w:t>货物</w:t>
            </w:r>
            <w:r>
              <w:rPr>
                <w:rFonts w:ascii="宋体" w:hAnsi="宋体" w:eastAsia="宋体" w:cs="宋体"/>
                <w:sz w:val="24"/>
                <w:szCs w:val="24"/>
              </w:rPr>
              <w:t>、人工、培训、运输、税费等全部费用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验收合格付款100%</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center"/>
              <w:rPr>
                <w:rFonts w:hint="eastAsia" w:ascii="宋体" w:hAnsi="宋体" w:eastAsia="宋体" w:cs="Times New Roman"/>
                <w:b/>
                <w:sz w:val="24"/>
                <w:szCs w:val="24"/>
              </w:rPr>
            </w:pPr>
            <w:r>
              <w:rPr>
                <w:rFonts w:hint="eastAsia" w:ascii="宋体" w:hAnsi="宋体" w:eastAsia="宋体" w:cs="Times New Roman"/>
                <w:b/>
                <w:sz w:val="24"/>
                <w:szCs w:val="24"/>
              </w:rPr>
              <w:t>项目要求</w:t>
            </w:r>
          </w:p>
        </w:tc>
        <w:tc>
          <w:tcPr>
            <w:tcW w:w="1701" w:type="dxa"/>
          </w:tcPr>
          <w:p>
            <w:pPr>
              <w:spacing w:line="276" w:lineRule="auto"/>
              <w:jc w:val="center"/>
              <w:rPr>
                <w:rFonts w:ascii="宋体" w:hAnsi="宋体"/>
                <w:b/>
                <w:sz w:val="24"/>
                <w:szCs w:val="24"/>
              </w:rPr>
            </w:pPr>
            <w:r>
              <w:rPr>
                <w:rFonts w:hint="eastAsia" w:ascii="宋体" w:hAnsi="宋体" w:eastAsia="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184" w:type="dxa"/>
            <w:vAlign w:val="center"/>
          </w:tcPr>
          <w:p>
            <w:pPr>
              <w:spacing w:line="276" w:lineRule="auto"/>
              <w:jc w:val="left"/>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见附件</w:t>
            </w:r>
          </w:p>
        </w:tc>
        <w:tc>
          <w:tcPr>
            <w:tcW w:w="1701" w:type="dxa"/>
          </w:tcPr>
          <w:p>
            <w:pPr>
              <w:spacing w:line="276" w:lineRule="auto"/>
              <w:jc w:val="center"/>
              <w:rPr>
                <w:rFonts w:hint="eastAsia" w:ascii="宋体" w:hAnsi="宋体" w:eastAsia="宋体" w:cs="宋体"/>
                <w:sz w:val="24"/>
                <w:szCs w:val="24"/>
              </w:rPr>
            </w:pPr>
          </w:p>
        </w:tc>
      </w:tr>
    </w:tbl>
    <w:p>
      <w:pPr>
        <w:jc w:val="left"/>
        <w:rPr>
          <w:b/>
          <w:color w:val="FF0000"/>
          <w:sz w:val="28"/>
          <w:szCs w:val="28"/>
        </w:rPr>
      </w:pPr>
    </w:p>
    <w:p>
      <w:r>
        <w:br w:type="page"/>
      </w:r>
    </w:p>
    <w:p>
      <w:pPr>
        <w:pStyle w:val="3"/>
        <w:numPr>
          <w:ilvl w:val="1"/>
          <w:numId w:val="2"/>
        </w:numPr>
        <w:spacing w:line="360" w:lineRule="auto"/>
        <w:ind w:left="0" w:firstLine="0"/>
      </w:pPr>
      <w:bookmarkStart w:id="0" w:name="_Toc101514041"/>
      <w:bookmarkStart w:id="1" w:name="_Toc2012"/>
      <w:r>
        <w:rPr>
          <w:rFonts w:hint="eastAsia"/>
        </w:rPr>
        <w:t>项目概述</w:t>
      </w:r>
      <w:bookmarkEnd w:id="0"/>
    </w:p>
    <w:bookmarkEnd w:id="1"/>
    <w:p>
      <w:pPr>
        <w:pStyle w:val="4"/>
        <w:numPr>
          <w:ilvl w:val="2"/>
          <w:numId w:val="2"/>
        </w:numPr>
        <w:spacing w:before="0" w:after="0" w:line="360" w:lineRule="auto"/>
        <w:ind w:right="240"/>
      </w:pPr>
      <w:bookmarkStart w:id="2" w:name="_Toc1508882"/>
      <w:bookmarkStart w:id="3" w:name="_Toc32202"/>
      <w:bookmarkStart w:id="4" w:name="_Toc101514045"/>
      <w:r>
        <w:rPr>
          <w:rFonts w:hint="eastAsia"/>
        </w:rPr>
        <w:t>项目</w:t>
      </w:r>
      <w:bookmarkEnd w:id="2"/>
      <w:r>
        <w:rPr>
          <w:rFonts w:hint="eastAsia"/>
        </w:rPr>
        <w:t>建设目标</w:t>
      </w:r>
      <w:bookmarkEnd w:id="3"/>
      <w:bookmarkEnd w:id="4"/>
    </w:p>
    <w:p>
      <w:pPr>
        <w:widowControl w:val="0"/>
        <w:spacing w:line="360" w:lineRule="auto"/>
        <w:ind w:firstLine="480"/>
        <w:jc w:val="both"/>
        <w:rPr>
          <w:rFonts w:eastAsiaTheme="minorEastAsia" w:cstheme="minorBidi"/>
          <w:kern w:val="2"/>
        </w:rPr>
      </w:pPr>
      <w:r>
        <w:rPr>
          <w:rFonts w:hint="eastAsia" w:eastAsiaTheme="minorEastAsia" w:cstheme="minorBidi"/>
          <w:kern w:val="2"/>
        </w:rPr>
        <w:t>（1）符合国家法律法规及其他主管部门的绩效管理规定，适应三级公立医院绩效考核等医改要求，以绩效考核为手段，以成本管理为基础，达到医院系统完善和优化经营管理的目的。方案不仅要实现公平分配，更要解决医院经营发展的问题和瓶颈，使医院经营适应新形势和新常态的要求，实现医院经营发展目标，推动医院的可持续发展，实现多方共赢。</w:t>
      </w:r>
    </w:p>
    <w:p>
      <w:pPr>
        <w:widowControl w:val="0"/>
        <w:spacing w:line="360" w:lineRule="auto"/>
        <w:ind w:firstLine="480"/>
        <w:jc w:val="both"/>
        <w:rPr>
          <w:rFonts w:eastAsiaTheme="minorEastAsia" w:cstheme="minorBidi"/>
          <w:kern w:val="2"/>
        </w:rPr>
      </w:pPr>
      <w:r>
        <w:rPr>
          <w:rFonts w:hint="eastAsia" w:eastAsiaTheme="minorEastAsia" w:cstheme="minorBidi"/>
          <w:kern w:val="2"/>
        </w:rPr>
        <w:t>（2）协助医院设计各系列群体和科室的岗位说明书、绩效考核方案和考核标准，建立体现岗位职责和知识价值的薪酬体系，实现以岗定责、以岗定薪、责薪相适、考核兑现。考核方案重点关注医疗质量、运营效率、持续发展、满意度评价等，将成本和关键考核指标纳入绩效考核体系内，实现绩效分配的公平性，体现多劳多得、优绩优酬，保证公益性。考核办法要以岗位职责完成情况为重点，将考核结果与薪酬分配挂钩，并根据医院实际，将核算对象细分到具体岗位，同时实现医护分开考核与分配。对行政后勤人员，根据岗位职责，完善岗位说明书，确定岗位系数和岗位目标，建立行政后勤绩效评价体系。对于科研和教学绩效方案设计给出绩效总量的设定方法，结合医院实际，制定符合医院科研教学发展目标的评价体系。</w:t>
      </w:r>
    </w:p>
    <w:p>
      <w:pPr>
        <w:widowControl w:val="0"/>
        <w:spacing w:line="360" w:lineRule="auto"/>
        <w:ind w:firstLine="480"/>
        <w:jc w:val="both"/>
        <w:rPr>
          <w:rFonts w:eastAsiaTheme="minorEastAsia" w:cstheme="minorBidi"/>
          <w:kern w:val="2"/>
        </w:rPr>
      </w:pPr>
      <w:r>
        <w:rPr>
          <w:rFonts w:hint="eastAsia" w:eastAsiaTheme="minorEastAsia" w:cstheme="minorBidi"/>
          <w:kern w:val="2"/>
        </w:rPr>
        <w:t>（3）以作为评价工具，建立病种绩效，利用时间消耗相关指标和费用消耗相关指标、低风险组死亡率、总权重RW、入组病例数、CMI值等指标对医疗服务效率、均衡发展、医疗服务能力和质量安全等方面评价并与考核挂钩，再结合控费的要求，使得绩效产生导向作用。</w:t>
      </w:r>
    </w:p>
    <w:p>
      <w:pPr>
        <w:widowControl w:val="0"/>
        <w:spacing w:line="360" w:lineRule="auto"/>
        <w:ind w:firstLine="480"/>
        <w:jc w:val="both"/>
        <w:rPr>
          <w:rFonts w:eastAsiaTheme="minorEastAsia" w:cstheme="minorBidi"/>
          <w:kern w:val="2"/>
        </w:rPr>
      </w:pPr>
      <w:r>
        <w:rPr>
          <w:rFonts w:hint="eastAsia" w:eastAsiaTheme="minorEastAsia" w:cstheme="minorBidi"/>
          <w:kern w:val="2"/>
        </w:rPr>
        <w:t>（4）建立多维度、科学性、可行性的KPI绩效评价体系，充分评价医院各职系工作效率，有效体现医院激励导向和既定目标，实现绩效管理系统与临床科室信息系统的互联互通。</w:t>
      </w:r>
    </w:p>
    <w:p>
      <w:pPr>
        <w:spacing w:line="360" w:lineRule="auto"/>
        <w:ind w:firstLine="480"/>
        <w:rPr>
          <w:rFonts w:asciiTheme="minorEastAsia" w:hAnsiTheme="minorEastAsia" w:eastAsiaTheme="minorEastAsia"/>
        </w:rPr>
      </w:pPr>
      <w:r>
        <w:rPr>
          <w:rFonts w:hint="eastAsia" w:eastAsiaTheme="minorEastAsia" w:cstheme="minorBidi"/>
          <w:kern w:val="2"/>
        </w:rPr>
        <w:t>（5）含组织机构及人员信息维护、医疗服务能力及绩效</w:t>
      </w:r>
      <w:r>
        <w:rPr>
          <w:rFonts w:hint="eastAsia" w:asciiTheme="minorEastAsia" w:hAnsiTheme="minorEastAsia" w:eastAsiaTheme="minorEastAsia" w:cstheme="minorBidi"/>
          <w:kern w:val="2"/>
        </w:rPr>
        <w:t>评价模型建设、数据采集、智能数据分析、成本费用管理、多层次校验评价、分配控制、综合数据分析、权限与日志分析等功能。</w:t>
      </w:r>
    </w:p>
    <w:p>
      <w:pPr>
        <w:pStyle w:val="4"/>
        <w:numPr>
          <w:ilvl w:val="2"/>
          <w:numId w:val="2"/>
        </w:numPr>
        <w:spacing w:before="0" w:after="0" w:line="360" w:lineRule="auto"/>
        <w:ind w:right="240"/>
        <w:rPr>
          <w:rFonts w:asciiTheme="minorEastAsia" w:hAnsiTheme="minorEastAsia" w:eastAsiaTheme="minorEastAsia"/>
        </w:rPr>
      </w:pPr>
      <w:bookmarkStart w:id="5" w:name="_Toc1508885"/>
      <w:bookmarkStart w:id="6" w:name="_Toc22150"/>
      <w:bookmarkStart w:id="7" w:name="_Toc101514046"/>
      <w:r>
        <w:rPr>
          <w:rFonts w:hint="eastAsia" w:asciiTheme="minorEastAsia" w:hAnsiTheme="minorEastAsia" w:eastAsiaTheme="minorEastAsia"/>
        </w:rPr>
        <w:t>项目建设内容</w:t>
      </w:r>
      <w:bookmarkEnd w:id="5"/>
      <w:bookmarkEnd w:id="6"/>
      <w:bookmarkEnd w:id="7"/>
    </w:p>
    <w:p>
      <w:pPr>
        <w:spacing w:line="360" w:lineRule="auto"/>
        <w:ind w:firstLine="480"/>
        <w:rPr>
          <w:rFonts w:asciiTheme="minorEastAsia" w:hAnsiTheme="minorEastAsia" w:eastAsiaTheme="minorEastAsia"/>
        </w:rPr>
      </w:pPr>
      <w:r>
        <w:rPr>
          <w:rFonts w:hint="eastAsia" w:asciiTheme="minorEastAsia" w:hAnsiTheme="minorEastAsia" w:eastAsiaTheme="minorEastAsia"/>
        </w:rPr>
        <w:t>本次重庆医科大学附属口腔医院医疗服务能力评估系统项目，主要建设内容如下：</w:t>
      </w:r>
    </w:p>
    <w:p>
      <w:pPr>
        <w:widowControl w:val="0"/>
        <w:spacing w:line="360" w:lineRule="auto"/>
        <w:ind w:firstLine="480"/>
        <w:jc w:val="both"/>
        <w:rPr>
          <w:rFonts w:hint="eastAsia" w:eastAsiaTheme="minorEastAsia" w:cstheme="minorBidi"/>
          <w:kern w:val="2"/>
        </w:rPr>
      </w:pPr>
      <w:bookmarkStart w:id="8" w:name="_Toc21561"/>
      <w:bookmarkStart w:id="9" w:name="_Toc1508886"/>
      <w:r>
        <w:rPr>
          <w:rFonts w:hint="eastAsia" w:eastAsiaTheme="minorEastAsia" w:cstheme="minorBidi"/>
          <w:kern w:val="2"/>
        </w:rPr>
        <w:t>（1）咨询服务——医疗服务能力评估体系建设方案及实施；</w:t>
      </w:r>
    </w:p>
    <w:p>
      <w:pPr>
        <w:widowControl w:val="0"/>
        <w:spacing w:line="360" w:lineRule="auto"/>
        <w:ind w:firstLine="480"/>
        <w:jc w:val="both"/>
        <w:rPr>
          <w:rFonts w:hint="eastAsia" w:eastAsiaTheme="minorEastAsia" w:cstheme="minorBidi"/>
          <w:kern w:val="2"/>
        </w:rPr>
      </w:pPr>
      <w:r>
        <w:rPr>
          <w:rFonts w:hint="eastAsia" w:eastAsiaTheme="minorEastAsia" w:cstheme="minorBidi"/>
          <w:kern w:val="2"/>
        </w:rPr>
        <w:t>（2）软件系统建设——医疗服务能力评估软件系统（医院薪酬绩效管理子系统）。</w:t>
      </w:r>
    </w:p>
    <w:p>
      <w:pPr>
        <w:pStyle w:val="4"/>
        <w:numPr>
          <w:ilvl w:val="2"/>
          <w:numId w:val="2"/>
        </w:numPr>
        <w:spacing w:before="0" w:after="0" w:line="360" w:lineRule="auto"/>
        <w:ind w:right="240"/>
        <w:rPr>
          <w:rFonts w:asciiTheme="majorEastAsia" w:hAnsiTheme="majorEastAsia" w:eastAsiaTheme="majorEastAsia"/>
          <w:highlight w:val="none"/>
        </w:rPr>
      </w:pPr>
      <w:bookmarkStart w:id="10" w:name="_Toc101514047"/>
      <w:r>
        <w:rPr>
          <w:rFonts w:hint="eastAsia" w:asciiTheme="majorEastAsia" w:hAnsiTheme="majorEastAsia" w:eastAsiaTheme="majorEastAsia"/>
        </w:rPr>
        <w:t>项目建设周</w:t>
      </w:r>
      <w:r>
        <w:rPr>
          <w:rFonts w:hint="eastAsia" w:asciiTheme="majorEastAsia" w:hAnsiTheme="majorEastAsia" w:eastAsiaTheme="majorEastAsia"/>
          <w:highlight w:val="none"/>
        </w:rPr>
        <w:t>期</w:t>
      </w:r>
      <w:bookmarkEnd w:id="8"/>
      <w:bookmarkEnd w:id="9"/>
      <w:bookmarkEnd w:id="10"/>
    </w:p>
    <w:p>
      <w:pPr>
        <w:spacing w:line="360" w:lineRule="auto"/>
        <w:ind w:firstLine="480"/>
        <w:rPr>
          <w:rFonts w:asciiTheme="minorEastAsia" w:hAnsiTheme="minorEastAsia" w:eastAsiaTheme="minorEastAsia"/>
        </w:rPr>
      </w:pPr>
      <w:r>
        <w:rPr>
          <w:rFonts w:hint="eastAsia" w:asciiTheme="minorEastAsia" w:hAnsiTheme="minorEastAsia" w:eastAsiaTheme="minorEastAsia"/>
          <w:highlight w:val="none"/>
        </w:rPr>
        <w:t>本项目整体建设时间周期为</w:t>
      </w:r>
      <w:r>
        <w:rPr>
          <w:rFonts w:asciiTheme="minorEastAsia" w:hAnsiTheme="minorEastAsia" w:eastAsiaTheme="minorEastAsia"/>
          <w:highlight w:val="none"/>
        </w:rPr>
        <w:t>6</w:t>
      </w:r>
      <w:r>
        <w:rPr>
          <w:rFonts w:hint="eastAsia" w:asciiTheme="minorEastAsia" w:hAnsiTheme="minorEastAsia" w:eastAsiaTheme="minorEastAsia"/>
          <w:highlight w:val="none"/>
        </w:rPr>
        <w:t>-</w:t>
      </w:r>
      <w:r>
        <w:rPr>
          <w:rFonts w:asciiTheme="minorEastAsia" w:hAnsiTheme="minorEastAsia" w:eastAsiaTheme="minorEastAsia"/>
          <w:highlight w:val="none"/>
        </w:rPr>
        <w:t>8</w:t>
      </w:r>
      <w:r>
        <w:rPr>
          <w:rFonts w:hint="eastAsia" w:asciiTheme="minorEastAsia" w:hAnsiTheme="minorEastAsia" w:eastAsiaTheme="minorEastAsia"/>
          <w:highlight w:val="none"/>
        </w:rPr>
        <w:t>个</w:t>
      </w:r>
      <w:r>
        <w:rPr>
          <w:rFonts w:hint="eastAsia" w:asciiTheme="minorEastAsia" w:hAnsiTheme="minorEastAsia" w:eastAsiaTheme="minorEastAsia"/>
        </w:rPr>
        <w:t>月。</w:t>
      </w: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说明：预计项目实施周期为各方配合良好，充分协同下的预计实施周期与节点，不包括因调整方案及甲方乙方配合造成的时间延迟。</w:t>
      </w:r>
    </w:p>
    <w:p>
      <w:pPr>
        <w:pStyle w:val="3"/>
        <w:numPr>
          <w:ilvl w:val="1"/>
          <w:numId w:val="2"/>
        </w:numPr>
        <w:spacing w:line="360" w:lineRule="auto"/>
        <w:ind w:left="0" w:firstLine="0"/>
      </w:pPr>
      <w:bookmarkStart w:id="11" w:name="_Toc101514052"/>
      <w:bookmarkStart w:id="12" w:name="_Toc19740"/>
      <w:r>
        <w:rPr>
          <w:rFonts w:hint="eastAsia"/>
        </w:rPr>
        <w:t>项目建设方案</w:t>
      </w:r>
      <w:bookmarkEnd w:id="11"/>
    </w:p>
    <w:p>
      <w:pPr>
        <w:pStyle w:val="4"/>
        <w:numPr>
          <w:ilvl w:val="2"/>
          <w:numId w:val="2"/>
        </w:numPr>
        <w:spacing w:line="360" w:lineRule="auto"/>
        <w:ind w:right="240"/>
      </w:pPr>
      <w:bookmarkStart w:id="13" w:name="_Toc101514053"/>
      <w:r>
        <w:rPr>
          <w:rFonts w:hint="eastAsia"/>
        </w:rPr>
        <w:t>建设原则</w:t>
      </w:r>
      <w:bookmarkEnd w:id="13"/>
    </w:p>
    <w:p>
      <w:pPr>
        <w:widowControl w:val="0"/>
        <w:numPr>
          <w:ilvl w:val="0"/>
          <w:numId w:val="3"/>
        </w:numPr>
        <w:spacing w:line="360" w:lineRule="auto"/>
        <w:ind w:left="0" w:firstLine="482"/>
        <w:rPr>
          <w:rFonts w:cs="Times New Roman" w:asciiTheme="minorEastAsia" w:hAnsiTheme="minorEastAsia" w:eastAsiaTheme="minorEastAsia"/>
          <w:b/>
          <w:bCs/>
        </w:rPr>
      </w:pPr>
      <w:r>
        <w:rPr>
          <w:rFonts w:hint="eastAsia" w:asciiTheme="minorEastAsia" w:hAnsiTheme="minorEastAsia" w:eastAsiaTheme="minorEastAsia"/>
          <w:b/>
          <w:bCs/>
        </w:rPr>
        <w:t xml:space="preserve">合规性原则 </w:t>
      </w:r>
    </w:p>
    <w:p>
      <w:pPr>
        <w:autoSpaceDE w:val="0"/>
        <w:adjustRightInd w:val="0"/>
        <w:snapToGrid w:val="0"/>
        <w:spacing w:line="360" w:lineRule="auto"/>
        <w:ind w:firstLine="480"/>
        <w:rPr>
          <w:rFonts w:asciiTheme="minorEastAsia" w:hAnsiTheme="minorEastAsia" w:eastAsiaTheme="minorEastAsia"/>
          <w:color w:val="333333"/>
          <w:shd w:val="clear" w:color="auto" w:fill="FFFFFF"/>
        </w:rPr>
      </w:pPr>
      <w:r>
        <w:rPr>
          <w:rFonts w:hint="eastAsia" w:asciiTheme="minorEastAsia" w:hAnsiTheme="minorEastAsia" w:eastAsiaTheme="minorEastAsia"/>
          <w:color w:val="333333"/>
          <w:shd w:val="clear" w:color="auto" w:fill="FFFFFF"/>
        </w:rPr>
        <w:t xml:space="preserve">根据原国家卫计委的“九不准”要求，根据《关于印发“十三五” 深化医药卫生体制改革规划的通知》（国发〔2016〕78 号）、《关于印发控制公立医院医疗费用不合理增长的若干意见的通知》（国卫体改发〔2015〕89 号）等有关要求，设计与医院运营特点相符的绩效管理方案，做到医务人员的绩效工资不能与收入挂钩，符合医保支付政策要求，科学评价人员工作量、劳务价值，在绩效工资分配上，重点向临床一线、业务骨干、关键岗位倾斜，做到多劳多得、优绩优酬。 </w:t>
      </w:r>
    </w:p>
    <w:p>
      <w:pPr>
        <w:widowControl w:val="0"/>
        <w:numPr>
          <w:ilvl w:val="0"/>
          <w:numId w:val="3"/>
        </w:numPr>
        <w:spacing w:line="360" w:lineRule="auto"/>
        <w:ind w:left="0" w:firstLine="482"/>
        <w:rPr>
          <w:rFonts w:asciiTheme="minorEastAsia" w:hAnsiTheme="minorEastAsia" w:eastAsiaTheme="minorEastAsia"/>
          <w:b/>
          <w:bCs/>
          <w:kern w:val="2"/>
        </w:rPr>
      </w:pPr>
      <w:r>
        <w:rPr>
          <w:rFonts w:hint="eastAsia" w:asciiTheme="minorEastAsia" w:hAnsiTheme="minorEastAsia" w:eastAsiaTheme="minorEastAsia"/>
          <w:b/>
          <w:bCs/>
        </w:rPr>
        <w:t xml:space="preserve">先进性原则 </w:t>
      </w:r>
    </w:p>
    <w:p>
      <w:pPr>
        <w:autoSpaceDE w:val="0"/>
        <w:adjustRightInd w:val="0"/>
        <w:snapToGrid w:val="0"/>
        <w:spacing w:line="360" w:lineRule="auto"/>
        <w:ind w:firstLine="480"/>
        <w:rPr>
          <w:rFonts w:asciiTheme="minorEastAsia" w:hAnsiTheme="minorEastAsia" w:eastAsiaTheme="minorEastAsia"/>
          <w:color w:val="333333"/>
          <w:shd w:val="clear" w:color="auto" w:fill="FFFFFF"/>
        </w:rPr>
      </w:pPr>
      <w:r>
        <w:rPr>
          <w:rFonts w:hint="eastAsia" w:asciiTheme="minorEastAsia" w:hAnsiTheme="minorEastAsia" w:eastAsiaTheme="minorEastAsia"/>
          <w:color w:val="333333"/>
          <w:shd w:val="clear" w:color="auto" w:fill="FFFFFF"/>
        </w:rPr>
        <w:t xml:space="preserve">由于医院医疗服务特色不同、发展战略不同，绩效管理制度高度个性化，我司采用国际先进的关键技术评估体系以及疾病诊断相关分组 (Diagnosis Related Groups)与医院运营特色相结合，综合衡量医疗服务的脑力投入、体力投入、技术难度、风险系数等关键因素，科学评核工作量、劳务价值，将关键技术 等理念根据医院管理特点进行本地化，根据业务特点，突出优势，兼顾差异，建立科学合理的薪酬绩效管理制度，能为未来发展建立绩效管理体系，建立不断优化演进的根基。 </w:t>
      </w:r>
    </w:p>
    <w:p>
      <w:pPr>
        <w:widowControl w:val="0"/>
        <w:numPr>
          <w:ilvl w:val="0"/>
          <w:numId w:val="3"/>
        </w:numPr>
        <w:spacing w:line="360" w:lineRule="auto"/>
        <w:ind w:left="0" w:firstLine="482"/>
        <w:rPr>
          <w:rFonts w:asciiTheme="minorEastAsia" w:hAnsiTheme="minorEastAsia" w:eastAsiaTheme="minorEastAsia"/>
          <w:b/>
          <w:bCs/>
          <w:kern w:val="2"/>
        </w:rPr>
      </w:pPr>
      <w:r>
        <w:rPr>
          <w:rFonts w:hint="eastAsia" w:asciiTheme="minorEastAsia" w:hAnsiTheme="minorEastAsia" w:eastAsiaTheme="minorEastAsia"/>
          <w:b/>
          <w:bCs/>
        </w:rPr>
        <w:t xml:space="preserve">实用性原则 </w:t>
      </w:r>
    </w:p>
    <w:p>
      <w:pPr>
        <w:autoSpaceDE w:val="0"/>
        <w:adjustRightInd w:val="0"/>
        <w:snapToGrid w:val="0"/>
        <w:spacing w:line="360" w:lineRule="auto"/>
        <w:ind w:firstLine="480"/>
        <w:rPr>
          <w:rFonts w:asciiTheme="minorEastAsia" w:hAnsiTheme="minorEastAsia" w:eastAsiaTheme="minorEastAsia"/>
          <w:color w:val="333333"/>
          <w:shd w:val="clear" w:color="auto" w:fill="FFFFFF"/>
        </w:rPr>
      </w:pPr>
      <w:r>
        <w:rPr>
          <w:rFonts w:hint="eastAsia" w:asciiTheme="minorEastAsia" w:hAnsiTheme="minorEastAsia" w:eastAsiaTheme="minorEastAsia"/>
          <w:color w:val="333333"/>
          <w:shd w:val="clear" w:color="auto" w:fill="FFFFFF"/>
        </w:rPr>
        <w:t xml:space="preserve">绩效管理整体方案与医院发展阶段、专业特点、科室分工相匹配，依据方案产生的绩效分配结果与医院实际情况相符合。 </w:t>
      </w:r>
    </w:p>
    <w:p>
      <w:pPr>
        <w:widowControl w:val="0"/>
        <w:numPr>
          <w:ilvl w:val="0"/>
          <w:numId w:val="3"/>
        </w:numPr>
        <w:spacing w:line="360" w:lineRule="auto"/>
        <w:ind w:left="0" w:firstLine="482"/>
        <w:rPr>
          <w:rFonts w:asciiTheme="minorEastAsia" w:hAnsiTheme="minorEastAsia" w:eastAsiaTheme="minorEastAsia"/>
          <w:b/>
          <w:bCs/>
          <w:kern w:val="2"/>
        </w:rPr>
      </w:pPr>
      <w:r>
        <w:rPr>
          <w:rFonts w:hint="eastAsia" w:asciiTheme="minorEastAsia" w:hAnsiTheme="minorEastAsia" w:eastAsiaTheme="minorEastAsia"/>
          <w:b/>
          <w:bCs/>
        </w:rPr>
        <w:t xml:space="preserve">开放性原则 </w:t>
      </w:r>
    </w:p>
    <w:p>
      <w:pPr>
        <w:autoSpaceDE w:val="0"/>
        <w:adjustRightInd w:val="0"/>
        <w:snapToGrid w:val="0"/>
        <w:spacing w:line="360" w:lineRule="auto"/>
        <w:ind w:firstLine="480"/>
        <w:rPr>
          <w:rFonts w:asciiTheme="minorEastAsia" w:hAnsiTheme="minorEastAsia" w:eastAsiaTheme="minorEastAsia"/>
          <w:color w:val="333333"/>
          <w:shd w:val="clear" w:color="auto" w:fill="FFFFFF"/>
        </w:rPr>
      </w:pPr>
      <w:r>
        <w:rPr>
          <w:rFonts w:hint="eastAsia" w:asciiTheme="minorEastAsia" w:hAnsiTheme="minorEastAsia" w:eastAsiaTheme="minorEastAsia"/>
          <w:color w:val="333333"/>
          <w:shd w:val="clear" w:color="auto" w:fill="FFFFFF"/>
        </w:rPr>
        <w:t xml:space="preserve">软件开发平台采用先进的网络体系设计结构，利用现有的信息化资源，兼容不同的软件、硬件平台系统。 </w:t>
      </w:r>
    </w:p>
    <w:p>
      <w:pPr>
        <w:widowControl w:val="0"/>
        <w:numPr>
          <w:ilvl w:val="0"/>
          <w:numId w:val="3"/>
        </w:numPr>
        <w:spacing w:line="360" w:lineRule="auto"/>
        <w:ind w:left="0" w:firstLine="482"/>
        <w:rPr>
          <w:rFonts w:asciiTheme="minorEastAsia" w:hAnsiTheme="minorEastAsia" w:eastAsiaTheme="minorEastAsia"/>
          <w:b/>
          <w:bCs/>
          <w:kern w:val="2"/>
        </w:rPr>
      </w:pPr>
      <w:r>
        <w:rPr>
          <w:rFonts w:hint="eastAsia" w:asciiTheme="minorEastAsia" w:hAnsiTheme="minorEastAsia" w:eastAsiaTheme="minorEastAsia"/>
          <w:b/>
          <w:bCs/>
        </w:rPr>
        <w:t xml:space="preserve">扩展性原则 </w:t>
      </w:r>
    </w:p>
    <w:p>
      <w:pPr>
        <w:autoSpaceDE w:val="0"/>
        <w:adjustRightInd w:val="0"/>
        <w:snapToGrid w:val="0"/>
        <w:spacing w:line="360" w:lineRule="auto"/>
        <w:ind w:firstLine="480"/>
        <w:rPr>
          <w:rFonts w:asciiTheme="minorEastAsia" w:hAnsiTheme="minorEastAsia" w:eastAsiaTheme="minorEastAsia"/>
          <w:color w:val="333333"/>
          <w:shd w:val="clear" w:color="auto" w:fill="FFFFFF"/>
        </w:rPr>
      </w:pPr>
      <w:r>
        <w:rPr>
          <w:rFonts w:hint="eastAsia" w:asciiTheme="minorEastAsia" w:hAnsiTheme="minorEastAsia" w:eastAsiaTheme="minorEastAsia"/>
          <w:color w:val="333333"/>
          <w:shd w:val="clear" w:color="auto" w:fill="FFFFFF"/>
        </w:rPr>
        <w:t xml:space="preserve">系统提供标准的开发接口与用户现有或将来扩展的业务系统集成，加强了系统设计的前瞻性、预留系统扩充和扩展能力。 </w:t>
      </w:r>
    </w:p>
    <w:p>
      <w:pPr>
        <w:autoSpaceDE w:val="0"/>
        <w:adjustRightInd w:val="0"/>
        <w:snapToGrid w:val="0"/>
        <w:spacing w:line="360" w:lineRule="auto"/>
        <w:ind w:firstLine="480"/>
        <w:rPr>
          <w:rFonts w:asciiTheme="minorEastAsia" w:hAnsiTheme="minorEastAsia" w:eastAsiaTheme="minorEastAsia"/>
          <w:color w:val="333333"/>
          <w:shd w:val="clear" w:color="auto" w:fill="FFFFFF"/>
        </w:rPr>
      </w:pPr>
      <w:r>
        <w:rPr>
          <w:rFonts w:hint="eastAsia" w:asciiTheme="minorEastAsia" w:hAnsiTheme="minorEastAsia" w:eastAsiaTheme="minorEastAsia"/>
          <w:color w:val="333333"/>
          <w:shd w:val="clear" w:color="auto" w:fill="FFFFFF"/>
        </w:rPr>
        <w:t xml:space="preserve">提供医疗服务能力评估系统与医院 HIS 等软件系统对接整合的技术服务，满足绩效咨询设计过程的信息化支撑，保障绩效方案运行及修订的自主化管理。 </w:t>
      </w:r>
    </w:p>
    <w:p>
      <w:pPr>
        <w:widowControl w:val="0"/>
        <w:numPr>
          <w:ilvl w:val="0"/>
          <w:numId w:val="3"/>
        </w:numPr>
        <w:spacing w:line="360" w:lineRule="auto"/>
        <w:ind w:left="0" w:firstLine="482"/>
        <w:rPr>
          <w:rFonts w:asciiTheme="minorEastAsia" w:hAnsiTheme="minorEastAsia" w:eastAsiaTheme="minorEastAsia"/>
          <w:b/>
          <w:bCs/>
          <w:kern w:val="2"/>
        </w:rPr>
      </w:pPr>
      <w:r>
        <w:rPr>
          <w:rFonts w:hint="eastAsia" w:asciiTheme="minorEastAsia" w:hAnsiTheme="minorEastAsia" w:eastAsiaTheme="minorEastAsia"/>
          <w:b/>
          <w:bCs/>
        </w:rPr>
        <w:t>安全性原则</w:t>
      </w:r>
    </w:p>
    <w:p>
      <w:pPr>
        <w:autoSpaceDE w:val="0"/>
        <w:adjustRightInd w:val="0"/>
        <w:snapToGrid w:val="0"/>
        <w:spacing w:line="360" w:lineRule="auto"/>
        <w:ind w:firstLine="480"/>
        <w:rPr>
          <w:rFonts w:asciiTheme="minorEastAsia" w:hAnsiTheme="minorEastAsia" w:eastAsiaTheme="minorEastAsia"/>
          <w:color w:val="333333"/>
          <w:shd w:val="clear" w:color="auto" w:fill="FFFFFF"/>
        </w:rPr>
      </w:pPr>
      <w:r>
        <w:rPr>
          <w:rFonts w:hint="eastAsia" w:asciiTheme="minorEastAsia" w:hAnsiTheme="minorEastAsia" w:eastAsiaTheme="minorEastAsia"/>
          <w:color w:val="333333"/>
          <w:shd w:val="clear" w:color="auto" w:fill="FFFFFF"/>
        </w:rPr>
        <w:t xml:space="preserve">项目涉及内部业务系统建设时遵循安全性原则，提供有效的安全保密措施，系统提供基于利用严密的身份验证、访问控制、多层次的保密手段等措施，确保系统和数据的安全性和完整性，确保整个系统的安全运行。 </w:t>
      </w:r>
    </w:p>
    <w:p>
      <w:pPr>
        <w:pStyle w:val="4"/>
        <w:numPr>
          <w:ilvl w:val="2"/>
          <w:numId w:val="2"/>
        </w:numPr>
        <w:spacing w:line="360" w:lineRule="auto"/>
        <w:ind w:right="240"/>
      </w:pPr>
      <w:bookmarkStart w:id="14" w:name="_Toc101514054"/>
      <w:r>
        <w:rPr>
          <w:rFonts w:hint="eastAsia"/>
        </w:rPr>
        <w:t>架构设计</w:t>
      </w:r>
      <w:bookmarkEnd w:id="12"/>
      <w:bookmarkEnd w:id="14"/>
    </w:p>
    <w:p>
      <w:pPr>
        <w:pStyle w:val="5"/>
        <w:numPr>
          <w:ilvl w:val="3"/>
          <w:numId w:val="2"/>
        </w:numPr>
        <w:spacing w:line="360" w:lineRule="auto"/>
        <w:ind w:firstLineChars="0"/>
      </w:pPr>
      <w:bookmarkStart w:id="15" w:name="_Toc11820"/>
      <w:r>
        <w:rPr>
          <w:rFonts w:hint="eastAsia"/>
        </w:rPr>
        <w:t>总体功能架构</w:t>
      </w:r>
      <w:bookmarkEnd w:id="15"/>
    </w:p>
    <w:p>
      <w:pPr>
        <w:spacing w:line="360" w:lineRule="auto"/>
        <w:jc w:val="both"/>
        <w:rPr>
          <w:color w:val="000000" w:themeColor="text1"/>
          <w:szCs w:val="28"/>
          <w14:textFill>
            <w14:solidFill>
              <w14:schemeClr w14:val="tx1"/>
            </w14:solidFill>
          </w14:textFill>
        </w:rPr>
      </w:pPr>
      <w:r>
        <w:rPr>
          <w:rFonts w:hint="eastAsia"/>
        </w:rPr>
        <w:drawing>
          <wp:inline distT="0" distB="0" distL="114300" distR="114300">
            <wp:extent cx="5687695" cy="5852795"/>
            <wp:effectExtent l="9525" t="9525" r="17780" b="20320"/>
            <wp:docPr id="127" name="图片 127" descr="系统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系统架构图"/>
                    <pic:cNvPicPr>
                      <a:picLocks noChangeAspect="1"/>
                    </pic:cNvPicPr>
                  </pic:nvPicPr>
                  <pic:blipFill>
                    <a:blip r:embed="rId4"/>
                    <a:stretch>
                      <a:fillRect/>
                    </a:stretch>
                  </pic:blipFill>
                  <pic:spPr>
                    <a:xfrm>
                      <a:off x="0" y="0"/>
                      <a:ext cx="5687695" cy="5853373"/>
                    </a:xfrm>
                    <a:prstGeom prst="rect">
                      <a:avLst/>
                    </a:prstGeom>
                    <a:ln>
                      <a:solidFill>
                        <a:schemeClr val="bg2"/>
                      </a:solidFill>
                    </a:ln>
                  </pic:spPr>
                </pic:pic>
              </a:graphicData>
            </a:graphic>
          </wp:inline>
        </w:drawing>
      </w:r>
    </w:p>
    <w:p>
      <w:pPr>
        <w:spacing w:line="360" w:lineRule="auto"/>
        <w:ind w:firstLine="480"/>
        <w:rPr>
          <w:rFonts w:asciiTheme="minorEastAsia" w:hAnsiTheme="minorEastAsia" w:eastAsiaTheme="minorEastAsia"/>
        </w:rPr>
      </w:pPr>
      <w:r>
        <w:rPr>
          <w:rFonts w:hint="eastAsia" w:asciiTheme="minorEastAsia" w:hAnsiTheme="minorEastAsia" w:eastAsiaTheme="minorEastAsia"/>
        </w:rPr>
        <w:t>在国家高质量发展的大环境下，以医院发展战略和绩效管理为导向，搭建以医务人员的工作量、服务质量和医疗技术含量的价值为基础的医疗服务能力评估体系，充分调动员工的积极性、主动性和创造性，树立正确的医院激励导向和医务人员价值导向，促进医院健康良性发展。</w:t>
      </w:r>
    </w:p>
    <w:p>
      <w:pPr>
        <w:pStyle w:val="5"/>
        <w:numPr>
          <w:ilvl w:val="3"/>
          <w:numId w:val="2"/>
        </w:numPr>
        <w:spacing w:line="360" w:lineRule="auto"/>
        <w:ind w:firstLineChars="0"/>
      </w:pPr>
      <w:bookmarkStart w:id="16" w:name="_Toc702"/>
      <w:bookmarkStart w:id="17" w:name="_Toc45119300"/>
      <w:bookmarkStart w:id="18" w:name="_Toc474762117"/>
      <w:bookmarkStart w:id="19" w:name="_Toc414435266"/>
      <w:bookmarkStart w:id="20" w:name="_Toc414434651"/>
      <w:bookmarkStart w:id="21" w:name="_Toc414366823"/>
      <w:bookmarkStart w:id="22" w:name="_Toc433197213"/>
      <w:bookmarkStart w:id="23" w:name="_Toc414435433"/>
      <w:bookmarkStart w:id="24" w:name="_Toc525826952"/>
      <w:r>
        <w:rPr>
          <w:rFonts w:hint="eastAsia"/>
        </w:rPr>
        <w:t>医疗服务能力评估系统网络拓扑设计</w:t>
      </w:r>
      <w:bookmarkEnd w:id="16"/>
    </w:p>
    <w:p>
      <w:pPr>
        <w:spacing w:line="360" w:lineRule="auto"/>
        <w:ind w:firstLine="480"/>
        <w:rPr>
          <w:rFonts w:asciiTheme="minorEastAsia" w:hAnsiTheme="minorEastAsia" w:eastAsiaTheme="minorEastAsia"/>
        </w:rPr>
      </w:pPr>
      <w:r>
        <w:rPr>
          <w:rFonts w:hint="eastAsia" w:asciiTheme="minorEastAsia" w:hAnsiTheme="minorEastAsia" w:eastAsiaTheme="minorEastAsia"/>
        </w:rPr>
        <w:t>医疗服务能力评估系统网络采用成熟的网络架构和技术，分为核心、汇聚、接入三层架构，包括设备横向虚拟化技术高密万兆骨干设备、千兆接入设备等，实现一张高可用的医疗级网络。</w:t>
      </w:r>
    </w:p>
    <w:p>
      <w:pPr>
        <w:spacing w:line="360" w:lineRule="auto"/>
      </w:pPr>
      <w:r>
        <w:rPr>
          <w:rFonts w:asciiTheme="minorEastAsia" w:hAnsiTheme="minorEastAsia" w:eastAsiaTheme="minorEastAsia"/>
        </w:rPr>
        <w:drawing>
          <wp:inline distT="0" distB="0" distL="0" distR="0">
            <wp:extent cx="5687695" cy="27527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87695" cy="2752725"/>
                    </a:xfrm>
                    <a:prstGeom prst="rect">
                      <a:avLst/>
                    </a:prstGeom>
                    <a:noFill/>
                    <a:ln>
                      <a:noFill/>
                    </a:ln>
                  </pic:spPr>
                </pic:pic>
              </a:graphicData>
            </a:graphic>
          </wp:inline>
        </w:drawing>
      </w:r>
    </w:p>
    <w:bookmarkEnd w:id="17"/>
    <w:p>
      <w:pPr>
        <w:pStyle w:val="4"/>
        <w:numPr>
          <w:ilvl w:val="2"/>
          <w:numId w:val="2"/>
        </w:numPr>
        <w:spacing w:line="360" w:lineRule="auto"/>
        <w:ind w:right="240"/>
      </w:pPr>
      <w:bookmarkStart w:id="25" w:name="_Toc18696"/>
      <w:bookmarkStart w:id="26" w:name="_Toc101514055"/>
      <w:r>
        <w:rPr>
          <w:rFonts w:hint="eastAsia"/>
        </w:rPr>
        <w:t>相关功能参数</w:t>
      </w:r>
      <w:bookmarkEnd w:id="25"/>
      <w:bookmarkEnd w:id="26"/>
    </w:p>
    <w:p>
      <w:pPr>
        <w:pStyle w:val="5"/>
        <w:numPr>
          <w:ilvl w:val="3"/>
          <w:numId w:val="2"/>
        </w:numPr>
        <w:spacing w:line="360" w:lineRule="auto"/>
        <w:ind w:firstLineChars="0"/>
      </w:pPr>
      <w:bookmarkStart w:id="27" w:name="_Toc28000"/>
      <w:r>
        <w:rPr>
          <w:rFonts w:hint="eastAsia"/>
        </w:rPr>
        <w:t>医疗服务能力评估体系建设方案</w:t>
      </w:r>
    </w:p>
    <w:p>
      <w:pPr>
        <w:spacing w:line="360" w:lineRule="auto"/>
        <w:ind w:firstLine="560"/>
      </w:pPr>
      <w:r>
        <w:rPr>
          <w:rFonts w:hint="eastAsia"/>
        </w:rPr>
        <w:t>全面评估医院医教研现状，设定相关考核要素，建立考核流程，设定分配细则，促进医院高质量发展，相关任务清单如下：</w:t>
      </w:r>
    </w:p>
    <w:tbl>
      <w:tblPr>
        <w:tblStyle w:val="14"/>
        <w:tblW w:w="11332" w:type="dxa"/>
        <w:jc w:val="center"/>
        <w:tblLayout w:type="autofit"/>
        <w:tblCellMar>
          <w:top w:w="0" w:type="dxa"/>
          <w:left w:w="108" w:type="dxa"/>
          <w:bottom w:w="0" w:type="dxa"/>
          <w:right w:w="108" w:type="dxa"/>
        </w:tblCellMar>
      </w:tblPr>
      <w:tblGrid>
        <w:gridCol w:w="1838"/>
        <w:gridCol w:w="1200"/>
        <w:gridCol w:w="1609"/>
        <w:gridCol w:w="1889"/>
        <w:gridCol w:w="1900"/>
        <w:gridCol w:w="2855"/>
        <w:gridCol w:w="41"/>
      </w:tblGrid>
      <w:tr>
        <w:tblPrEx>
          <w:tblCellMar>
            <w:top w:w="0" w:type="dxa"/>
            <w:left w:w="108" w:type="dxa"/>
            <w:bottom w:w="0" w:type="dxa"/>
            <w:right w:w="108" w:type="dxa"/>
          </w:tblCellMar>
        </w:tblPrEx>
        <w:trPr>
          <w:gridAfter w:val="1"/>
          <w:wAfter w:w="41" w:type="dxa"/>
          <w:trHeight w:val="312" w:hRule="atLeast"/>
          <w:jc w:val="center"/>
        </w:trPr>
        <w:tc>
          <w:tcPr>
            <w:tcW w:w="18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工作内容大类</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工作任务编号</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工作任务内容</w:t>
            </w:r>
          </w:p>
        </w:tc>
        <w:tc>
          <w:tcPr>
            <w:tcW w:w="1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医院任务</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医院配合部门（建议）</w:t>
            </w:r>
          </w:p>
        </w:tc>
        <w:tc>
          <w:tcPr>
            <w:tcW w:w="2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工作说明</w:t>
            </w:r>
          </w:p>
        </w:tc>
      </w:tr>
      <w:tr>
        <w:tblPrEx>
          <w:tblCellMar>
            <w:top w:w="0" w:type="dxa"/>
            <w:left w:w="108" w:type="dxa"/>
            <w:bottom w:w="0" w:type="dxa"/>
            <w:right w:w="108" w:type="dxa"/>
          </w:tblCellMar>
        </w:tblPrEx>
        <w:trPr>
          <w:gridAfter w:val="1"/>
          <w:wAfter w:w="41" w:type="dxa"/>
          <w:trHeight w:val="440"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r>
      <w:tr>
        <w:tblPrEx>
          <w:tblCellMar>
            <w:top w:w="0" w:type="dxa"/>
            <w:left w:w="108" w:type="dxa"/>
            <w:bottom w:w="0" w:type="dxa"/>
            <w:right w:w="108" w:type="dxa"/>
          </w:tblCellMar>
        </w:tblPrEx>
        <w:trPr>
          <w:gridAfter w:val="1"/>
          <w:wAfter w:w="41" w:type="dxa"/>
          <w:trHeight w:val="680"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前期调研</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P-1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明确医院需求及数据支撑条件</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配合项目组开展初步调研</w:t>
            </w:r>
          </w:p>
        </w:tc>
        <w:tc>
          <w:tcPr>
            <w:tcW w:w="190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绩效、信息、医务、护理、人事、财务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明确医院详细需求，包括功能模块等；初步了解医院数据条件</w:t>
            </w:r>
          </w:p>
        </w:tc>
      </w:tr>
      <w:tr>
        <w:tblPrEx>
          <w:tblCellMar>
            <w:top w:w="0" w:type="dxa"/>
            <w:left w:w="108" w:type="dxa"/>
            <w:bottom w:w="0" w:type="dxa"/>
            <w:right w:w="108" w:type="dxa"/>
          </w:tblCellMar>
        </w:tblPrEx>
        <w:trPr>
          <w:gridAfter w:val="1"/>
          <w:wAfter w:w="41" w:type="dxa"/>
          <w:trHeight w:val="380"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内部启动会</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P-2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内部项目建设</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190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　</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确定项目组成员，初步分析项目特性</w:t>
            </w:r>
          </w:p>
        </w:tc>
      </w:tr>
      <w:tr>
        <w:tblPrEx>
          <w:tblCellMar>
            <w:top w:w="0" w:type="dxa"/>
            <w:left w:w="108" w:type="dxa"/>
            <w:bottom w:w="0" w:type="dxa"/>
            <w:right w:w="108" w:type="dxa"/>
          </w:tblCellMar>
        </w:tblPrEx>
        <w:trPr>
          <w:gridAfter w:val="1"/>
          <w:wAfter w:w="41" w:type="dxa"/>
          <w:trHeight w:val="680"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项目正式启动</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P-3</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双方启动会议</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配合项目组召开启动会议</w:t>
            </w:r>
          </w:p>
        </w:tc>
        <w:tc>
          <w:tcPr>
            <w:tcW w:w="190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绩效、信息、医务、护理、人事、财务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项目总体框架宣讲、确定相关工作负责人、建立工作群、数据初步交流、绩效方案初步交流</w:t>
            </w:r>
          </w:p>
        </w:tc>
      </w:tr>
      <w:tr>
        <w:tblPrEx>
          <w:tblCellMar>
            <w:top w:w="0" w:type="dxa"/>
            <w:left w:w="108" w:type="dxa"/>
            <w:bottom w:w="0" w:type="dxa"/>
            <w:right w:w="108" w:type="dxa"/>
          </w:tblCellMar>
        </w:tblPrEx>
        <w:trPr>
          <w:gridAfter w:val="1"/>
          <w:wAfter w:w="41" w:type="dxa"/>
          <w:trHeight w:val="680"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项目启动宣讲</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P-4</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项目启动宣讲</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配合项目组实施宣讲</w:t>
            </w:r>
          </w:p>
        </w:tc>
        <w:tc>
          <w:tcPr>
            <w:tcW w:w="190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项目总牵头部门</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对全院中层干部、副高级以上职称人员进行项目宣讲（项目经理主讲）</w:t>
            </w:r>
          </w:p>
        </w:tc>
      </w:tr>
      <w:tr>
        <w:tblPrEx>
          <w:tblCellMar>
            <w:top w:w="0" w:type="dxa"/>
            <w:left w:w="108" w:type="dxa"/>
            <w:bottom w:w="0" w:type="dxa"/>
            <w:right w:w="108" w:type="dxa"/>
          </w:tblCellMar>
        </w:tblPrEx>
        <w:trPr>
          <w:trHeight w:val="360" w:hRule="atLeast"/>
          <w:jc w:val="center"/>
        </w:trPr>
        <w:tc>
          <w:tcPr>
            <w:tcW w:w="11332" w:type="dxa"/>
            <w:gridSpan w:val="7"/>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第一部分  组织人事初始化及数据正式调研</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1、考核单元及人事信息初始化</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1-1-1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考核单元及人事信息初始化工作培训</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配合项目组开展培训</w:t>
            </w:r>
          </w:p>
        </w:tc>
        <w:tc>
          <w:tcPr>
            <w:tcW w:w="190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人事、绩效、医务、护理</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项目组提供工作说明（绩效管理系统考核单元及人员基础信息初始化工作细则），并对医院绩效办、护理部、人事科等部门进行工作讲解</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1-1-2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考核单元设置</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提交设置资料给项目组</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人事、绩效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对全院考核单元进行梳理，定义标准的三级考核单元编码及名称，医院提供数据资料，项目组在系统内进行设置。</w:t>
            </w:r>
          </w:p>
        </w:tc>
      </w:tr>
      <w:tr>
        <w:tblPrEx>
          <w:tblCellMar>
            <w:top w:w="0" w:type="dxa"/>
            <w:left w:w="108" w:type="dxa"/>
            <w:bottom w:w="0" w:type="dxa"/>
            <w:right w:w="108" w:type="dxa"/>
          </w:tblCellMar>
        </w:tblPrEx>
        <w:trPr>
          <w:gridAfter w:val="1"/>
          <w:wAfter w:w="41" w:type="dxa"/>
          <w:trHeight w:val="136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1-1-3</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护理岗位班次设置</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提交设置资料给项目组</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护理</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医院提供各护理单元的岗位班次，确定护理单元内岗位班次系数为1的标准岗位班次，并设置其他岗位系数上下限，由医院提供数据资料，项目组在系统内进行设置</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1-1-4</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行政后勤岗位设置</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提交设置资料给项目组</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人事</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项目组提供岗位说明书模板，医院拟定行政后勤岗位说明书，医院提供数据资料，项目组在系统内进行设置</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1-1-5</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人员基本信息初始化</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提交人员基本信息资料给项目组</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人事</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医院提供全院人员基础信息表，必备字段包括：人员工号、人员姓名、归属三级机构编码、归属三级机构名称、电话号码，项目组将信息导入系统</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1-1-6</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人事管理及授权功能上线培训</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确定医院最高管理员</w:t>
            </w:r>
          </w:p>
        </w:tc>
        <w:tc>
          <w:tcPr>
            <w:tcW w:w="190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人事、绩效、医务、护理</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包括授权功能培训及组织人事相关功能培训</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1-1-7</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组织人事管理及授权功能上线</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最高管理员完成授权，各操作人员上线维护信息</w:t>
            </w:r>
          </w:p>
        </w:tc>
        <w:tc>
          <w:tcPr>
            <w:tcW w:w="1900"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人事、绩效、医务、护理</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项目组将功能使用视频提供给医院，配合医院上线运行组织人事管理功能</w:t>
            </w:r>
          </w:p>
        </w:tc>
      </w:tr>
      <w:tr>
        <w:tblPrEx>
          <w:tblCellMar>
            <w:top w:w="0" w:type="dxa"/>
            <w:left w:w="108" w:type="dxa"/>
            <w:bottom w:w="0" w:type="dxa"/>
            <w:right w:w="108" w:type="dxa"/>
          </w:tblCellMar>
        </w:tblPrEx>
        <w:trPr>
          <w:gridAfter w:val="1"/>
          <w:wAfter w:w="41" w:type="dxa"/>
          <w:trHeight w:val="2720" w:hRule="atLeast"/>
          <w:jc w:val="center"/>
        </w:trPr>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2、样例数据调研工作（基础数据及业务样例数据提取）</w:t>
            </w:r>
          </w:p>
        </w:tc>
        <w:tc>
          <w:tcPr>
            <w:tcW w:w="1200" w:type="dxa"/>
            <w:tcBorders>
              <w:top w:val="nil"/>
              <w:left w:val="nil"/>
              <w:bottom w:val="nil"/>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1-2-1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提取医疗服务项目、病案首页样例数据、在科明细样例数据、DRG病组/DIP病种分组结果样例数据、特殊医技科室项目明细样例数据、门诊住院收费明细样例数据</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提交资料给项目组</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信息</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医院提供一个月的基础数据以及业务样例数据</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1-2-2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样例数据校验</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根据数据校验报告进行调整准备</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信息</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项目组校验医院基础数据以及业务样例数据，验证是否满足绩效系统实施的数据要求</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3、数据工作正式交互</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1-3-1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初步拟定数据工作方案</w:t>
            </w:r>
          </w:p>
        </w:tc>
        <w:tc>
          <w:tcPr>
            <w:tcW w:w="1889" w:type="dxa"/>
            <w:tcBorders>
              <w:top w:val="nil"/>
              <w:left w:val="nil"/>
              <w:bottom w:val="nil"/>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　</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项目组和医院信息科、运管部进行交流，确认目前已完成、未完成的工作，制定工作方案</w:t>
            </w:r>
          </w:p>
        </w:tc>
      </w:tr>
      <w:tr>
        <w:tblPrEx>
          <w:tblCellMar>
            <w:top w:w="0" w:type="dxa"/>
            <w:left w:w="108" w:type="dxa"/>
            <w:bottom w:w="0" w:type="dxa"/>
            <w:right w:w="108" w:type="dxa"/>
          </w:tblCellMar>
        </w:tblPrEx>
        <w:trPr>
          <w:gridAfter w:val="1"/>
          <w:wAfter w:w="41" w:type="dxa"/>
          <w:trHeight w:val="3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1-3-2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召开内部项目推进会</w:t>
            </w:r>
          </w:p>
        </w:tc>
        <w:tc>
          <w:tcPr>
            <w:tcW w:w="188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　</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　</w:t>
            </w:r>
          </w:p>
        </w:tc>
      </w:tr>
      <w:tr>
        <w:tblPrEx>
          <w:tblCellMar>
            <w:top w:w="0" w:type="dxa"/>
            <w:left w:w="108" w:type="dxa"/>
            <w:bottom w:w="0" w:type="dxa"/>
            <w:right w:w="108" w:type="dxa"/>
          </w:tblCellMar>
        </w:tblPrEx>
        <w:trPr>
          <w:gridAfter w:val="1"/>
          <w:wAfter w:w="41" w:type="dxa"/>
          <w:trHeight w:val="272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1-3-3</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召开第一次数据工作沟通会</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 xml:space="preserve">配合项目组召开第一次数据沟通会 </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信息、绩效、医务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向医院领导汇报样例数据分析报告及工作计划，双方最终确定数据工作备忘录及数据工作方案。项目组在前期提供的样例数据分析和数据来源情况调查结果基础上，项目组整理数据需求清单及规范文件，并提供给医院；项目组对关键数据缺失情况进行重点说明并提出解决方案，其中，对关键技术缺关键信息的情况，待完成关键技术发布后，指导督促医院补充完善关键信息。</w:t>
            </w:r>
          </w:p>
        </w:tc>
      </w:tr>
      <w:tr>
        <w:tblPrEx>
          <w:tblCellMar>
            <w:top w:w="0" w:type="dxa"/>
            <w:left w:w="108" w:type="dxa"/>
            <w:bottom w:w="0" w:type="dxa"/>
            <w:right w:w="108" w:type="dxa"/>
          </w:tblCellMar>
        </w:tblPrEx>
        <w:trPr>
          <w:trHeight w:val="360" w:hRule="atLeast"/>
          <w:jc w:val="center"/>
        </w:trPr>
        <w:tc>
          <w:tcPr>
            <w:tcW w:w="11332" w:type="dxa"/>
            <w:gridSpan w:val="7"/>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第二部分 数据提取</w:t>
            </w:r>
          </w:p>
        </w:tc>
      </w:tr>
      <w:tr>
        <w:tblPrEx>
          <w:tblCellMar>
            <w:top w:w="0" w:type="dxa"/>
            <w:left w:w="108" w:type="dxa"/>
            <w:bottom w:w="0" w:type="dxa"/>
            <w:right w:w="108" w:type="dxa"/>
          </w:tblCellMar>
        </w:tblPrEx>
        <w:trPr>
          <w:gridAfter w:val="1"/>
          <w:wAfter w:w="41" w:type="dxa"/>
          <w:trHeight w:val="680"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1、历史数据提取</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2-1-1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提取历史数据，同样例数据明细</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提交资料给项目组</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信息</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　</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2、历史数据处理</w:t>
            </w:r>
          </w:p>
        </w:tc>
        <w:tc>
          <w:tcPr>
            <w:tcW w:w="120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2-2-1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医院各科室病组/病种分组数据清洗</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　</w:t>
            </w:r>
          </w:p>
        </w:tc>
        <w:tc>
          <w:tcPr>
            <w:tcW w:w="2855" w:type="dxa"/>
            <w:tcBorders>
              <w:top w:val="nil"/>
              <w:left w:val="nil"/>
              <w:bottom w:val="nil"/>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　</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医院各科室病组/病种分组数据关联处理</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　</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　</w:t>
            </w:r>
          </w:p>
        </w:tc>
      </w:tr>
      <w:tr>
        <w:tblPrEx>
          <w:tblCellMar>
            <w:top w:w="0" w:type="dxa"/>
            <w:left w:w="108" w:type="dxa"/>
            <w:bottom w:w="0" w:type="dxa"/>
            <w:right w:w="108" w:type="dxa"/>
          </w:tblCellMar>
        </w:tblPrEx>
        <w:trPr>
          <w:trHeight w:val="360" w:hRule="atLeast"/>
          <w:jc w:val="center"/>
        </w:trPr>
        <w:tc>
          <w:tcPr>
            <w:tcW w:w="11332" w:type="dxa"/>
            <w:gridSpan w:val="7"/>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 xml:space="preserve">第三部分 评估建模 </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1、评分系统数据初始化</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3-1-1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医疗服务项目系统初始化</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　</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3-1-2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临床关键技术筛选授权</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提供被授权人名单给项目组</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医院提供临床关键技术筛选负责人名单，项目组对实施临床关键技术筛选的责任人（科主任）进行授权</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3-1-3</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临床关键技术筛选</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配合项目组组织被授权人执行筛选</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对科室开展的关键技术项目进行筛选</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3-1-4</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临床关键技术审核</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对科室筛选的关键技术进行审核</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对科主任进行筛选的关键技术进行审核，剔除不纳入考核的项目</w:t>
            </w:r>
          </w:p>
        </w:tc>
      </w:tr>
      <w:tr>
        <w:tblPrEx>
          <w:tblCellMar>
            <w:top w:w="0" w:type="dxa"/>
            <w:left w:w="108" w:type="dxa"/>
            <w:bottom w:w="0" w:type="dxa"/>
            <w:right w:w="108" w:type="dxa"/>
          </w:tblCellMar>
        </w:tblPrEx>
        <w:trPr>
          <w:gridAfter w:val="1"/>
          <w:wAfter w:w="41" w:type="dxa"/>
          <w:trHeight w:val="38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3-1-5</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临床关键技术发布</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　</w:t>
            </w:r>
          </w:p>
        </w:tc>
        <w:tc>
          <w:tcPr>
            <w:tcW w:w="2855" w:type="dxa"/>
            <w:tcBorders>
              <w:top w:val="nil"/>
              <w:left w:val="nil"/>
              <w:bottom w:val="single" w:color="auto" w:sz="4" w:space="0"/>
              <w:right w:val="single" w:color="auto" w:sz="4" w:space="0"/>
            </w:tcBorders>
            <w:shd w:val="clear" w:color="auto" w:fill="auto"/>
            <w:noWrap/>
            <w:vAlign w:val="bottom"/>
          </w:tcPr>
          <w:p>
            <w:pPr>
              <w:rPr>
                <w:rFonts w:asciiTheme="minorEastAsia" w:hAnsiTheme="minorEastAsia" w:eastAsiaTheme="minorEastAsia"/>
                <w:color w:val="000000"/>
              </w:rPr>
            </w:pPr>
            <w:r>
              <w:rPr>
                <w:rFonts w:hint="eastAsia" w:asciiTheme="minorEastAsia" w:hAnsiTheme="minorEastAsia" w:eastAsiaTheme="minorEastAsia"/>
                <w:color w:val="000000"/>
              </w:rPr>
              <w:t>项目组确认最终的关键技术考核清单</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3-1-6</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医技关键技术筛选授权</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提供被授权人名单给项目组</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医院提供医技关键技术筛选负责人名单，项目组对实施医技关键技术筛选的责任人（科主任）进行授权</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3-1-7</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医技关键技术筛选及审核</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与项目组讨论确定关键技术项目清单</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医技科室科主任对医技科室的关键技术进行筛选，医院医务科对医技科室科主任进行筛选的关键技术进行审核，剔除不纳入考核的项目</w:t>
            </w:r>
          </w:p>
        </w:tc>
      </w:tr>
      <w:tr>
        <w:tblPrEx>
          <w:tblCellMar>
            <w:top w:w="0" w:type="dxa"/>
            <w:left w:w="108" w:type="dxa"/>
            <w:bottom w:w="0" w:type="dxa"/>
            <w:right w:w="108" w:type="dxa"/>
          </w:tblCellMar>
        </w:tblPrEx>
        <w:trPr>
          <w:gridAfter w:val="1"/>
          <w:wAfter w:w="41" w:type="dxa"/>
          <w:trHeight w:val="38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3-1-8</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医技关键技术发布</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　</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项目组确认最终的关键技术考核清单</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3-1-9</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对关键技术数据完整性进行评估</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配合项目组评估</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项目组对历史数据进行评估，提出具体需要优化或补充的数据明细</w:t>
            </w:r>
          </w:p>
        </w:tc>
      </w:tr>
      <w:tr>
        <w:tblPrEx>
          <w:tblCellMar>
            <w:top w:w="0" w:type="dxa"/>
            <w:left w:w="108" w:type="dxa"/>
            <w:bottom w:w="0" w:type="dxa"/>
            <w:right w:w="108" w:type="dxa"/>
          </w:tblCellMar>
        </w:tblPrEx>
        <w:trPr>
          <w:gridAfter w:val="1"/>
          <w:wAfter w:w="41" w:type="dxa"/>
          <w:trHeight w:val="272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3-1-10</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召开第二次数据工作沟通会</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 xml:space="preserve">配合项目组召开第一次数据沟通会 </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信息、绩效、医务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向院领导进行汇报，对历史数据评估报告进行说明，特别对缺失关键信息的数据完善方案进行沟通，并强调后续数据的规范性，协助医院在HIS功能、流程与管理执行层面进行优化。对缺少关键技术执行人的数据，建议医院手工完善补充，后续运行数据必须在HIS提供执行人确认功能的前提下，提高执行人确认的依从性，否则系统将屏蔽该部分缺失执行人的关键技术工作量</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 xml:space="preserve">2、服务能力评分 </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临床关键技术及病组/病种评分授权</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配合项目组授权</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项目组对参与临床关键技术及病组/病种评分的人员进行授权</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临床关键技术及病组/病种评分培训</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配合项目组培训</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将评分功能介绍发提交医院，并补充进行相关评分操作的培训</w:t>
            </w:r>
          </w:p>
        </w:tc>
      </w:tr>
      <w:tr>
        <w:tblPrEx>
          <w:tblCellMar>
            <w:top w:w="0" w:type="dxa"/>
            <w:left w:w="108" w:type="dxa"/>
            <w:bottom w:w="0" w:type="dxa"/>
            <w:right w:w="108" w:type="dxa"/>
          </w:tblCellMar>
        </w:tblPrEx>
        <w:trPr>
          <w:gridAfter w:val="1"/>
          <w:wAfter w:w="41" w:type="dxa"/>
          <w:trHeight w:val="3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3-2-3</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临床关键技术评分</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组织评分</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临床科室医师在系统中完成关键技术的评分</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3-2-4</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临床DRG病组/DIP病种评分</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组织评分</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临床科室医师在系统中完成DRG病组/DIP病种的评分</w:t>
            </w:r>
          </w:p>
        </w:tc>
      </w:tr>
      <w:tr>
        <w:tblPrEx>
          <w:tblCellMar>
            <w:top w:w="0" w:type="dxa"/>
            <w:left w:w="108" w:type="dxa"/>
            <w:bottom w:w="0" w:type="dxa"/>
            <w:right w:w="108" w:type="dxa"/>
          </w:tblCellMar>
        </w:tblPrEx>
        <w:trPr>
          <w:gridAfter w:val="1"/>
          <w:wAfter w:w="41" w:type="dxa"/>
          <w:trHeight w:val="3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3-2-5</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医技关键技术评分授权</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配合项目组授权</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对参与医技关键技术评分的人员进行授权</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3-2-6</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医技关键技术评分培训</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配合项目组培训</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将评分功能介绍发提交医院，并补充进行相关评分操作的培训</w:t>
            </w:r>
          </w:p>
        </w:tc>
      </w:tr>
      <w:tr>
        <w:tblPrEx>
          <w:tblCellMar>
            <w:top w:w="0" w:type="dxa"/>
            <w:left w:w="108" w:type="dxa"/>
            <w:bottom w:w="0" w:type="dxa"/>
            <w:right w:w="108" w:type="dxa"/>
          </w:tblCellMar>
        </w:tblPrEx>
        <w:trPr>
          <w:gridAfter w:val="1"/>
          <w:wAfter w:w="41" w:type="dxa"/>
          <w:trHeight w:val="3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3-2-7</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医技关键技术评分</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组织评分</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医技科室人员在系统中完成关键技术的评分</w:t>
            </w:r>
          </w:p>
        </w:tc>
      </w:tr>
      <w:tr>
        <w:tblPrEx>
          <w:tblCellMar>
            <w:top w:w="0" w:type="dxa"/>
            <w:left w:w="108" w:type="dxa"/>
            <w:bottom w:w="0" w:type="dxa"/>
            <w:right w:w="108" w:type="dxa"/>
          </w:tblCellMar>
        </w:tblPrEx>
        <w:trPr>
          <w:gridAfter w:val="1"/>
          <w:wAfter w:w="41" w:type="dxa"/>
          <w:trHeight w:val="3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3-2-8</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护理评分授权</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配合项目组授权</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护理</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对参与护理单元、岗位班次评分的人员进行授权</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3-2-9</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护理评分培训</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配合项目组培训</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护理</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将评分功能介绍发提交医院，并补充进行相关评分操作的培训</w:t>
            </w:r>
          </w:p>
        </w:tc>
      </w:tr>
      <w:tr>
        <w:tblPrEx>
          <w:tblCellMar>
            <w:top w:w="0" w:type="dxa"/>
            <w:left w:w="108" w:type="dxa"/>
            <w:bottom w:w="0" w:type="dxa"/>
            <w:right w:w="108" w:type="dxa"/>
          </w:tblCellMar>
        </w:tblPrEx>
        <w:trPr>
          <w:gridAfter w:val="1"/>
          <w:wAfter w:w="41" w:type="dxa"/>
          <w:trHeight w:val="3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3-2-10</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护理单元评分</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组织评分</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护理</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护理人员在系统中完成护理单元评分</w:t>
            </w:r>
          </w:p>
        </w:tc>
      </w:tr>
      <w:tr>
        <w:tblPrEx>
          <w:tblCellMar>
            <w:top w:w="0" w:type="dxa"/>
            <w:left w:w="108" w:type="dxa"/>
            <w:bottom w:w="0" w:type="dxa"/>
            <w:right w:w="108" w:type="dxa"/>
          </w:tblCellMar>
        </w:tblPrEx>
        <w:trPr>
          <w:gridAfter w:val="1"/>
          <w:wAfter w:w="41" w:type="dxa"/>
          <w:trHeight w:val="3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3-2-11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护理岗位班次评分</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组织评分</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护理</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护理人员在系统中完成护理岗位班次评分</w:t>
            </w:r>
          </w:p>
        </w:tc>
      </w:tr>
      <w:tr>
        <w:tblPrEx>
          <w:tblCellMar>
            <w:top w:w="0" w:type="dxa"/>
            <w:left w:w="108" w:type="dxa"/>
            <w:bottom w:w="0" w:type="dxa"/>
            <w:right w:w="108" w:type="dxa"/>
          </w:tblCellMar>
        </w:tblPrEx>
        <w:trPr>
          <w:gridAfter w:val="1"/>
          <w:wAfter w:w="41" w:type="dxa"/>
          <w:trHeight w:val="3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3-2-12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行政后勤评分授权</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配合项目组授权</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人事</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行政后勤岗位评分授权</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3-2-13</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行政后勤评分培训</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配合项目组培训</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人事</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将评分功能介绍发提交医院，并补充进行相关评分操作的培训</w:t>
            </w:r>
          </w:p>
        </w:tc>
      </w:tr>
      <w:tr>
        <w:tblPrEx>
          <w:tblCellMar>
            <w:top w:w="0" w:type="dxa"/>
            <w:left w:w="108" w:type="dxa"/>
            <w:bottom w:w="0" w:type="dxa"/>
            <w:right w:w="108" w:type="dxa"/>
          </w:tblCellMar>
        </w:tblPrEx>
        <w:trPr>
          <w:gridAfter w:val="1"/>
          <w:wAfter w:w="41" w:type="dxa"/>
          <w:trHeight w:val="3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3-2-14</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行政后勤岗位评分</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组织评分</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人事</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行政后勤人员在系统中完成行政后勤岗位评分</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3、后台修正计算</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3-3-1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临床关键技术评分修正计算</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　</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项目组根据评分情况完成评分结果修正，生成临床关键技术绩效考核分值</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3-3-2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临床病组/病种评分修正计算</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　</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项目组根据评分情况完成评分结果修正，生成病组/病种绩效考核分值</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3-3-3</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医技关键技术评分修正计算</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　</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项目组根据评分情况完成评分结果修正，生成医技关键技术绩效考核分值</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3-3-4</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护理单元评分修正计算</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协同项目组实施修正</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护理</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项目组根据评分情况完成评分结果修正，生成护理单元层级系数</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3-3-5</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护理岗位班次评分修正计算</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　</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项目组根据评分情况完成评分结果修正，生成护理岗位班次系数分值</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3-3-6</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行政后勤岗位评分修正计算</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协同项目组实施修正</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人事</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项目组根据评分情况完成评分结果修正，生成行政后勤岗位绩效系数分值</w:t>
            </w:r>
          </w:p>
        </w:tc>
      </w:tr>
      <w:tr>
        <w:tblPrEx>
          <w:tblCellMar>
            <w:top w:w="0" w:type="dxa"/>
            <w:left w:w="108" w:type="dxa"/>
            <w:bottom w:w="0" w:type="dxa"/>
            <w:right w:w="108" w:type="dxa"/>
          </w:tblCellMar>
        </w:tblPrEx>
        <w:trPr>
          <w:trHeight w:val="360" w:hRule="atLeast"/>
          <w:jc w:val="center"/>
        </w:trPr>
        <w:tc>
          <w:tcPr>
            <w:tcW w:w="11332" w:type="dxa"/>
            <w:gridSpan w:val="7"/>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第四部分 运行评估功能实施</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1、工作量填报功能上线</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4-1-1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工作量填报功能培训</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对功能使用人进行授权，配合项目组培训</w:t>
            </w:r>
          </w:p>
        </w:tc>
        <w:tc>
          <w:tcPr>
            <w:tcW w:w="19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医务、护理、绩效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医院对工作量填报人进行授权，项目组将工作量填报功能介绍提交给医院，并补充进行相关工作量填报功能操作的培训</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4-1-2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工作量填报功能上线</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功能使用人在系统中填报工作量</w:t>
            </w:r>
          </w:p>
        </w:tc>
        <w:tc>
          <w:tcPr>
            <w:tcW w:w="1900"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医务、护理、绩效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医院正式使用工作量填报功能，项目组配合医院进行功能运行</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2、运行评估计算功能上线</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4-2-1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运行评估计算规则及参数设置</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　</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项目组对运行评估计算规则及参数进行设置</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4-2-2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运行评估计算功能培训</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对运行评估使用人进行授权，配合项目组培训</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对运行评估使用人进行授权，项目组将绩效考核结果计算功能介绍提交给医院，并进行相关计算功能操作的培训</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4-2-3</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运行评估计算功能上线</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功能使用人在系统中进行操作</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医院正式使用运行评估计算功能，项目组配合医院进行功能运行</w:t>
            </w:r>
          </w:p>
        </w:tc>
      </w:tr>
      <w:tr>
        <w:tblPrEx>
          <w:tblCellMar>
            <w:top w:w="0" w:type="dxa"/>
            <w:left w:w="108" w:type="dxa"/>
            <w:bottom w:w="0" w:type="dxa"/>
            <w:right w:w="108" w:type="dxa"/>
          </w:tblCellMar>
        </w:tblPrEx>
        <w:trPr>
          <w:trHeight w:val="360" w:hRule="atLeast"/>
          <w:jc w:val="center"/>
        </w:trPr>
        <w:tc>
          <w:tcPr>
            <w:tcW w:w="11332" w:type="dxa"/>
            <w:gridSpan w:val="7"/>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第五部分 方案设计及绩效薪酬测算功能实施</w:t>
            </w:r>
          </w:p>
        </w:tc>
      </w:tr>
      <w:tr>
        <w:tblPrEx>
          <w:tblCellMar>
            <w:top w:w="0" w:type="dxa"/>
            <w:left w:w="108" w:type="dxa"/>
            <w:bottom w:w="0" w:type="dxa"/>
            <w:right w:w="108" w:type="dxa"/>
          </w:tblCellMar>
        </w:tblPrEx>
        <w:trPr>
          <w:gridAfter w:val="1"/>
          <w:wAfter w:w="41" w:type="dxa"/>
          <w:trHeight w:val="1360" w:hRule="atLeast"/>
          <w:jc w:val="center"/>
        </w:trPr>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1、历史数据分析测算</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5-1-1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旧方案参数设置</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对功能使用人进行授权，配合项目组培训，在系统中设置旧方案项目参数</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在绩效薪酬测算功能中按照旧方案设置项目参数</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5-1-2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旧方案薪酬结果导入</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根据数据分析模版准备数据并导入系统</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项目组将薪酬明细表提供给医院，配合医院团队将历史薪酬数据进行整理；医院在绩效薪酬测试功能中导入旧方案的薪酬分配结果</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5-1-3</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临床医师历史工作量测算</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配合项目组进行测算</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对历史工作量进行统计分析</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5-1-4</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医技科室历史工作量测算</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配合项目组进行测算</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对历史工作量进行统计分析</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5-1-5</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护理团队历史工作量测算</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配合项目组进行测算</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对历史工作量进行统计分析</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5-1-6</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旧方案绩效薪酬分析</w:t>
            </w:r>
          </w:p>
        </w:tc>
        <w:tc>
          <w:tcPr>
            <w:tcW w:w="188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配合项目组对数据进行分析</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根据旧方案的薪酬数据与工作量数据进行分析，为方案设计作准备</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2、新方案设计</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5-2-1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临床医师方案设计</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配合项目组进行方案设计</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项目组与医院团队共同讨论，对新绩效核算与分配方案中的指标、权重等计算规则与参数进行逐一测算确定</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5-2-2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医技科室方案设计</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配合项目组进行方案设计</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由咨询专家与医院团队共同讨论，对新绩效核算与分配方案中的指标、权重等计算规则与参数进行逐一测算确定</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5-2-3</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护理团队方案设计</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配合项目组进行方案设计</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由咨询专家与医院团队共同讨论，对新绩效核算与分配方案中的指标、权重等计算规则与参数进行逐一测算确定</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5-2-4</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行政后勤科室方案设计</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配合项目组进行方案设计</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由咨询专家与医院团队共同讨论，对新绩效核算与分配方案中的指标、权重等计算规则与参数进行逐一测算确定</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5-2-5</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双方正式进行方案交互</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配合项目组进行方案交互会</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绩效、医务、护理、人事</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双方召开方案交互工作会，向医院领导介绍具体方案细节</w:t>
            </w:r>
          </w:p>
        </w:tc>
      </w:tr>
      <w:tr>
        <w:tblPrEx>
          <w:tblCellMar>
            <w:top w:w="0" w:type="dxa"/>
            <w:left w:w="108" w:type="dxa"/>
            <w:bottom w:w="0" w:type="dxa"/>
            <w:right w:w="108" w:type="dxa"/>
          </w:tblCellMar>
        </w:tblPrEx>
        <w:trPr>
          <w:trHeight w:val="360" w:hRule="atLeast"/>
          <w:jc w:val="center"/>
        </w:trPr>
        <w:tc>
          <w:tcPr>
            <w:tcW w:w="11332" w:type="dxa"/>
            <w:gridSpan w:val="7"/>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第六部分 薪酬核算功能实施</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restart"/>
            <w:tcBorders>
              <w:top w:val="nil"/>
              <w:left w:val="single" w:color="auto" w:sz="4" w:space="0"/>
              <w:bottom w:val="nil"/>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1、薪酬核算功能上线准备</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6-1-1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薪酬核算功能培训</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对功能使用人进行授权，配合项目组培训</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项目组将薪酬核算功能手册提交给医院，并进行相关薪酬核算功能操作的培训</w:t>
            </w:r>
          </w:p>
        </w:tc>
      </w:tr>
      <w:tr>
        <w:tblPrEx>
          <w:tblCellMar>
            <w:top w:w="0" w:type="dxa"/>
            <w:left w:w="108" w:type="dxa"/>
            <w:bottom w:w="0" w:type="dxa"/>
            <w:right w:w="108" w:type="dxa"/>
          </w:tblCellMar>
        </w:tblPrEx>
        <w:trPr>
          <w:gridAfter w:val="1"/>
          <w:wAfter w:w="41" w:type="dxa"/>
          <w:trHeight w:val="1700" w:hRule="atLeast"/>
          <w:jc w:val="center"/>
        </w:trPr>
        <w:tc>
          <w:tcPr>
            <w:tcW w:w="1838" w:type="dxa"/>
            <w:vMerge w:val="continue"/>
            <w:tcBorders>
              <w:top w:val="nil"/>
              <w:left w:val="single" w:color="auto" w:sz="4" w:space="0"/>
              <w:bottom w:val="nil"/>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6-1-2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设置薪酬核算项目属性</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在系统中设置核算项目属性</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项目组辅导医院对薪酬核算功能中的各类参数进行设置。根据运行评估、考核和分配方案设计的进度，分批实施薪酬核算功能，如临床医师及护理类别、医技类别、行政后勤类别。成熟一个类别，实施一个类别。</w:t>
            </w:r>
          </w:p>
        </w:tc>
      </w:tr>
      <w:tr>
        <w:tblPrEx>
          <w:tblCellMar>
            <w:top w:w="0" w:type="dxa"/>
            <w:left w:w="108" w:type="dxa"/>
            <w:bottom w:w="0" w:type="dxa"/>
            <w:right w:w="108" w:type="dxa"/>
          </w:tblCellMar>
        </w:tblPrEx>
        <w:trPr>
          <w:gridAfter w:val="1"/>
          <w:wAfter w:w="41" w:type="dxa"/>
          <w:trHeight w:val="1700" w:hRule="atLeast"/>
          <w:jc w:val="center"/>
        </w:trPr>
        <w:tc>
          <w:tcPr>
            <w:tcW w:w="18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2、薪酬核算功能试运行</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6-2-1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并行核算及回顾核算</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功能使用人对并行期及历史周期进行新方案核算</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tcPr>
          <w:p>
            <w:pPr>
              <w:rPr>
                <w:rFonts w:asciiTheme="minorEastAsia" w:hAnsiTheme="minorEastAsia" w:eastAsiaTheme="minorEastAsia"/>
                <w:color w:val="000000"/>
              </w:rPr>
            </w:pPr>
            <w:r>
              <w:rPr>
                <w:rFonts w:hint="eastAsia" w:asciiTheme="minorEastAsia" w:hAnsiTheme="minorEastAsia" w:eastAsiaTheme="minorEastAsia"/>
                <w:color w:val="000000"/>
              </w:rPr>
              <w:t>在方案（项目、参数）确定、数据符合运行评估要求后开始进行回顾核算与并行核算，回顾核算指追溯到某个历史周期用新方案进行核算，并行核算指从并行初始期起后续周期用新方案核算（医院仍用旧方案在系统外实际核算与分配）</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single" w:color="auto" w:sz="4" w:space="0"/>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6-2-2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薪酬核算差异分析</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协同项目组进行比较分析</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分析评估新旧方案的差异</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single" w:color="auto" w:sz="4" w:space="0"/>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6-2-3</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新方案参数优化</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与项目组讨论后优化参数</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根据新旧方案对比情况，调整方案相关参数</w:t>
            </w:r>
          </w:p>
        </w:tc>
      </w:tr>
      <w:tr>
        <w:tblPrEx>
          <w:tblCellMar>
            <w:top w:w="0" w:type="dxa"/>
            <w:left w:w="108" w:type="dxa"/>
            <w:bottom w:w="0" w:type="dxa"/>
            <w:right w:w="108" w:type="dxa"/>
          </w:tblCellMar>
        </w:tblPrEx>
        <w:trPr>
          <w:gridAfter w:val="1"/>
          <w:wAfter w:w="41" w:type="dxa"/>
          <w:trHeight w:val="760"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3、薪酬核算功能正式上线运行</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6-3-1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薪酬核算功能正式上线运行</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功能使用人在系统中进行正式核算</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tcPr>
          <w:p>
            <w:pPr>
              <w:rPr>
                <w:rFonts w:asciiTheme="minorEastAsia" w:hAnsiTheme="minorEastAsia" w:eastAsiaTheme="minorEastAsia"/>
                <w:color w:val="000000"/>
              </w:rPr>
            </w:pPr>
            <w:r>
              <w:rPr>
                <w:rFonts w:hint="eastAsia" w:asciiTheme="minorEastAsia" w:hAnsiTheme="minorEastAsia" w:eastAsiaTheme="minorEastAsia"/>
                <w:color w:val="000000"/>
              </w:rPr>
              <w:t>结束并行核算，正式采用新方案在系统中核算与分配</w:t>
            </w:r>
          </w:p>
        </w:tc>
      </w:tr>
      <w:tr>
        <w:tblPrEx>
          <w:tblCellMar>
            <w:top w:w="0" w:type="dxa"/>
            <w:left w:w="108" w:type="dxa"/>
            <w:bottom w:w="0" w:type="dxa"/>
            <w:right w:w="108" w:type="dxa"/>
          </w:tblCellMar>
        </w:tblPrEx>
        <w:trPr>
          <w:trHeight w:val="360" w:hRule="atLeast"/>
          <w:jc w:val="center"/>
        </w:trPr>
        <w:tc>
          <w:tcPr>
            <w:tcW w:w="11332" w:type="dxa"/>
            <w:gridSpan w:val="7"/>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第七部分 薪酬分配功能实施</w:t>
            </w:r>
          </w:p>
        </w:tc>
      </w:tr>
      <w:tr>
        <w:tblPrEx>
          <w:tblCellMar>
            <w:top w:w="0" w:type="dxa"/>
            <w:left w:w="108" w:type="dxa"/>
            <w:bottom w:w="0" w:type="dxa"/>
            <w:right w:w="108" w:type="dxa"/>
          </w:tblCellMar>
        </w:tblPrEx>
        <w:trPr>
          <w:gridAfter w:val="1"/>
          <w:wAfter w:w="41" w:type="dxa"/>
          <w:trHeight w:val="1360" w:hRule="atLeast"/>
          <w:jc w:val="center"/>
        </w:trPr>
        <w:tc>
          <w:tcPr>
            <w:tcW w:w="1838"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1、薪酬分配功能上线准备</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7-1-1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薪酬分配功能培训</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对功能使用人进行授权，配合项目组培训</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项目组将薪酬分配功能手册提交给医院，并补充进行相关薪酬分配功能操作的培训，包括对绩效办、科主任（护士长）、管理小组成员、医疗组长使用分配功能的培训</w:t>
            </w:r>
          </w:p>
        </w:tc>
      </w:tr>
      <w:tr>
        <w:tblPrEx>
          <w:tblCellMar>
            <w:top w:w="0" w:type="dxa"/>
            <w:left w:w="108" w:type="dxa"/>
            <w:bottom w:w="0" w:type="dxa"/>
            <w:right w:w="108" w:type="dxa"/>
          </w:tblCellMar>
        </w:tblPrEx>
        <w:trPr>
          <w:gridAfter w:val="1"/>
          <w:wAfter w:w="41" w:type="dxa"/>
          <w:trHeight w:val="1020" w:hRule="atLeast"/>
          <w:jc w:val="center"/>
        </w:trPr>
        <w:tc>
          <w:tcPr>
            <w:tcW w:w="1838" w:type="dxa"/>
            <w:vMerge w:val="continue"/>
            <w:tcBorders>
              <w:top w:val="nil"/>
              <w:left w:val="single" w:color="auto" w:sz="4" w:space="0"/>
              <w:bottom w:val="single" w:color="000000"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7-1-2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设置薪酬分配参数</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在系统中设置分配参数</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根据绩效考核及分配方案的调整，逐步调整相关参数。相关类别完成考核与分配方案设计，并完成薪酬核算正式上线运行后，分批实施分配功能上线。</w:t>
            </w:r>
          </w:p>
        </w:tc>
      </w:tr>
      <w:tr>
        <w:tblPrEx>
          <w:tblCellMar>
            <w:top w:w="0" w:type="dxa"/>
            <w:left w:w="108" w:type="dxa"/>
            <w:bottom w:w="0" w:type="dxa"/>
            <w:right w:w="108" w:type="dxa"/>
          </w:tblCellMar>
        </w:tblPrEx>
        <w:trPr>
          <w:gridAfter w:val="1"/>
          <w:wAfter w:w="41" w:type="dxa"/>
          <w:trHeight w:val="760"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2、薪酬分配功能正式上线运行</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7-2-1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薪酬分配功能正式上线运行</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功能使用人在系统中进行正式分配</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全院科室及医疗组正式使用分配模块进行奖金调控分配</w:t>
            </w:r>
          </w:p>
        </w:tc>
      </w:tr>
      <w:tr>
        <w:tblPrEx>
          <w:tblCellMar>
            <w:top w:w="0" w:type="dxa"/>
            <w:left w:w="108" w:type="dxa"/>
            <w:bottom w:w="0" w:type="dxa"/>
            <w:right w:w="108" w:type="dxa"/>
          </w:tblCellMar>
        </w:tblPrEx>
        <w:trPr>
          <w:trHeight w:val="360" w:hRule="atLeast"/>
          <w:jc w:val="center"/>
        </w:trPr>
        <w:tc>
          <w:tcPr>
            <w:tcW w:w="11332" w:type="dxa"/>
            <w:gridSpan w:val="7"/>
            <w:tcBorders>
              <w:top w:val="single" w:color="auto" w:sz="4" w:space="0"/>
              <w:left w:val="single" w:color="auto" w:sz="4" w:space="0"/>
              <w:bottom w:val="single" w:color="auto" w:sz="4" w:space="0"/>
              <w:right w:val="nil"/>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第八部分 成本费用管理功能实施</w:t>
            </w:r>
          </w:p>
        </w:tc>
      </w:tr>
      <w:tr>
        <w:tblPrEx>
          <w:tblCellMar>
            <w:top w:w="0" w:type="dxa"/>
            <w:left w:w="108" w:type="dxa"/>
            <w:bottom w:w="0" w:type="dxa"/>
            <w:right w:w="108" w:type="dxa"/>
          </w:tblCellMar>
        </w:tblPrEx>
        <w:trPr>
          <w:gridAfter w:val="1"/>
          <w:wAfter w:w="41" w:type="dxa"/>
          <w:trHeight w:val="1020"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1、成本费用历史数据分析</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8-1-1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对历史数据进行分析，包括各类费用及可控成本要素</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与项目组共同确定标杆值</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项目组辅导医院进行数据分析并确定标杆值</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restart"/>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2、成本费用管理功能上线准备</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8-1-2</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成本费用管理功能培训</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对功能使用人进行授权，配合项目组培训</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项目组对绩效办进行成本费用功能使用的培训，医院在系统内配置成本费用管理参数</w:t>
            </w:r>
          </w:p>
        </w:tc>
      </w:tr>
      <w:tr>
        <w:tblPrEx>
          <w:tblCellMar>
            <w:top w:w="0" w:type="dxa"/>
            <w:left w:w="108" w:type="dxa"/>
            <w:bottom w:w="0" w:type="dxa"/>
            <w:right w:w="108" w:type="dxa"/>
          </w:tblCellMar>
        </w:tblPrEx>
        <w:trPr>
          <w:gridAfter w:val="1"/>
          <w:wAfter w:w="41" w:type="dxa"/>
          <w:trHeight w:val="680" w:hRule="atLeast"/>
          <w:jc w:val="center"/>
        </w:trPr>
        <w:tc>
          <w:tcPr>
            <w:tcW w:w="1838" w:type="dxa"/>
            <w:vMerge w:val="continue"/>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bCs/>
                <w:color w:val="000000"/>
              </w:rPr>
            </w:pP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8-1-3</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成本费用管理功能试运行</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功能使用人在系统中进行试运行监测</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医院对试运行期间的成本费用差异进行分析并反馈给科室</w:t>
            </w:r>
          </w:p>
        </w:tc>
      </w:tr>
      <w:tr>
        <w:tblPrEx>
          <w:tblCellMar>
            <w:top w:w="0" w:type="dxa"/>
            <w:left w:w="108" w:type="dxa"/>
            <w:bottom w:w="0" w:type="dxa"/>
            <w:right w:w="108" w:type="dxa"/>
          </w:tblCellMar>
        </w:tblPrEx>
        <w:trPr>
          <w:gridAfter w:val="1"/>
          <w:wAfter w:w="41" w:type="dxa"/>
          <w:trHeight w:val="760"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color w:val="000000"/>
              </w:rPr>
            </w:pPr>
            <w:r>
              <w:rPr>
                <w:rFonts w:hint="eastAsia" w:asciiTheme="minorEastAsia" w:hAnsiTheme="minorEastAsia" w:eastAsiaTheme="minorEastAsia"/>
                <w:b/>
                <w:bCs/>
                <w:color w:val="000000"/>
              </w:rPr>
              <w:t>3、成本费用管理功能正式上线运行</w:t>
            </w:r>
          </w:p>
        </w:tc>
        <w:tc>
          <w:tcPr>
            <w:tcW w:w="12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color w:val="000000"/>
              </w:rPr>
            </w:pPr>
            <w:r>
              <w:rPr>
                <w:rFonts w:hint="eastAsia" w:asciiTheme="minorEastAsia" w:hAnsiTheme="minorEastAsia" w:eastAsiaTheme="minorEastAsia"/>
                <w:b/>
                <w:bCs/>
                <w:color w:val="000000"/>
              </w:rPr>
              <w:t>8-2-1</w:t>
            </w:r>
          </w:p>
        </w:tc>
        <w:tc>
          <w:tcPr>
            <w:tcW w:w="1609"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成本费用管理功能正式上线运行</w:t>
            </w:r>
          </w:p>
        </w:tc>
        <w:tc>
          <w:tcPr>
            <w:tcW w:w="188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医院对成本费用差异结果进行绩效调整</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rPr>
            </w:pPr>
            <w:r>
              <w:rPr>
                <w:rFonts w:hint="eastAsia" w:asciiTheme="minorEastAsia" w:hAnsiTheme="minorEastAsia" w:eastAsiaTheme="minorEastAsia"/>
                <w:color w:val="000000"/>
              </w:rPr>
              <w:t>绩效</w:t>
            </w:r>
          </w:p>
        </w:tc>
        <w:tc>
          <w:tcPr>
            <w:tcW w:w="2855" w:type="dxa"/>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rPr>
            </w:pPr>
            <w:r>
              <w:rPr>
                <w:rFonts w:hint="eastAsia" w:asciiTheme="minorEastAsia" w:hAnsiTheme="minorEastAsia" w:eastAsiaTheme="minorEastAsia"/>
                <w:color w:val="000000"/>
              </w:rPr>
              <w:t>医院对成本费用运行差异在绩效核算中进行调整</w:t>
            </w:r>
          </w:p>
        </w:tc>
      </w:tr>
    </w:tbl>
    <w:p>
      <w:pPr>
        <w:spacing w:line="360" w:lineRule="auto"/>
        <w:ind w:firstLine="560"/>
      </w:pPr>
    </w:p>
    <w:p>
      <w:pPr>
        <w:pStyle w:val="5"/>
        <w:numPr>
          <w:ilvl w:val="3"/>
          <w:numId w:val="2"/>
        </w:numPr>
        <w:spacing w:line="360" w:lineRule="auto"/>
        <w:ind w:firstLineChars="0"/>
      </w:pPr>
      <w:r>
        <w:rPr>
          <w:rFonts w:hint="eastAsia"/>
        </w:rPr>
        <w:t>医疗服务能力评估系统</w:t>
      </w:r>
      <w:bookmarkEnd w:id="27"/>
    </w:p>
    <w:p>
      <w:pPr>
        <w:spacing w:line="360" w:lineRule="auto"/>
        <w:ind w:firstLine="480"/>
        <w:rPr>
          <w:rFonts w:asciiTheme="minorEastAsia" w:hAnsiTheme="minorEastAsia" w:eastAsiaTheme="minorEastAsia"/>
        </w:rPr>
      </w:pPr>
      <w:r>
        <w:rPr>
          <w:rFonts w:hint="eastAsia" w:asciiTheme="minorEastAsia" w:hAnsiTheme="minorEastAsia" w:eastAsiaTheme="minorEastAsia"/>
        </w:rPr>
        <w:t>该系统覆盖关键技术及DRG病组评估体系，对临床科室进行服务能力评估管理，最大程度的对接公立医院绩效考核体系，在个人、临床科室及医院层面全面、系统、科学地反映医疗服务能力与产出，为医院绩效考核、学科建设提供直接依据，整体解决内外科医疗服务能力评估体系建设及日常运行管理。</w:t>
      </w:r>
    </w:p>
    <w:tbl>
      <w:tblPr>
        <w:tblStyle w:val="14"/>
        <w:tblW w:w="9493" w:type="dxa"/>
        <w:tblInd w:w="0" w:type="dxa"/>
        <w:tblLayout w:type="autofit"/>
        <w:tblCellMar>
          <w:top w:w="0" w:type="dxa"/>
          <w:left w:w="108" w:type="dxa"/>
          <w:bottom w:w="0" w:type="dxa"/>
          <w:right w:w="108" w:type="dxa"/>
        </w:tblCellMar>
      </w:tblPr>
      <w:tblGrid>
        <w:gridCol w:w="462"/>
        <w:gridCol w:w="178"/>
        <w:gridCol w:w="2280"/>
        <w:gridCol w:w="900"/>
        <w:gridCol w:w="5673"/>
      </w:tblGrid>
      <w:tr>
        <w:tblPrEx>
          <w:tblCellMar>
            <w:top w:w="0" w:type="dxa"/>
            <w:left w:w="108" w:type="dxa"/>
            <w:bottom w:w="0" w:type="dxa"/>
            <w:right w:w="108" w:type="dxa"/>
          </w:tblCellMar>
        </w:tblPrEx>
        <w:trPr>
          <w:trHeight w:val="320" w:hRule="atLeast"/>
        </w:trPr>
        <w:tc>
          <w:tcPr>
            <w:tcW w:w="949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rPr>
                <w:color w:val="000000"/>
              </w:rPr>
            </w:pPr>
            <w:r>
              <w:rPr>
                <w:rFonts w:hint="eastAsia"/>
                <w:color w:val="000000"/>
              </w:rPr>
              <w:t>一、</w:t>
            </w:r>
            <w:r>
              <w:rPr>
                <w:rFonts w:ascii="Times New Roman" w:hAnsi="Times New Roman" w:cs="Times New Roman"/>
                <w:b/>
                <w:bCs/>
                <w:color w:val="000000"/>
              </w:rPr>
              <w:t xml:space="preserve">   </w:t>
            </w:r>
            <w:r>
              <w:rPr>
                <w:rFonts w:hint="eastAsia"/>
                <w:b/>
                <w:bCs/>
                <w:color w:val="000000"/>
              </w:rPr>
              <w:t>组织机构及字典管理</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机构维护</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对使用单位名称、编码等进行定义</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临床科室维护</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按照多级组织架构的管理方式设置并维护各个临床科室的内部名称及代码</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3</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医技科室维护</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按照多级组织架构的管理方式设置并维护各个医技科室的内部名称及代码</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4</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护理单元维护</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按照多级组织架构的管理方式设置并维护各个护理单元的内部名称及代码</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5</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行政后勤科室维护</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按照多级组织架构的管理方式设置并维护各个行政后勤科室的内部名称及代码</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6</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学科映射管理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查看学科映射信息，修改学科映射</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7</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人员维护</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导入或维护机构提供的用户名单，或手动管理使用人员名单</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8</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角色管理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对不同的系统功能使用人员定义不同的用户角色</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9</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权限设置</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根据不同角色设置并维护其可以使用的系统功能权限</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10</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系统字典维护</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设置系统运行所需的各项基础标准字典</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通用字典维护</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设置系统运行所需的各项应用数据字典</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物价字典维护</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设置机构所在区域内采用的国家物价标准字典内容</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13</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执行服务设置</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设置系统内部自动运行的各项计算和管理服务</w:t>
            </w:r>
          </w:p>
        </w:tc>
      </w:tr>
      <w:tr>
        <w:tblPrEx>
          <w:tblCellMar>
            <w:top w:w="0" w:type="dxa"/>
            <w:left w:w="108" w:type="dxa"/>
            <w:bottom w:w="0" w:type="dxa"/>
            <w:right w:w="108" w:type="dxa"/>
          </w:tblCellMar>
        </w:tblPrEx>
        <w:trPr>
          <w:trHeight w:val="3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14</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数据分析设置</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设置病案及</w:t>
            </w:r>
            <w:r>
              <w:rPr>
                <w:rFonts w:ascii="Calibri" w:hAnsi="Calibri" w:cs="Calibri"/>
                <w:color w:val="000000"/>
              </w:rPr>
              <w:t>DRG病组/DIP病种</w:t>
            </w:r>
            <w:r>
              <w:rPr>
                <w:rFonts w:hint="eastAsia"/>
                <w:color w:val="000000"/>
              </w:rPr>
              <w:t>内容的关键分析数据项</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15</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快捷功能设置</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设置用户登录系统后可以在首页界面中快速访问或者使用的功能名单</w:t>
            </w:r>
          </w:p>
        </w:tc>
      </w:tr>
      <w:tr>
        <w:tblPrEx>
          <w:tblCellMar>
            <w:top w:w="0" w:type="dxa"/>
            <w:left w:w="108" w:type="dxa"/>
            <w:bottom w:w="0" w:type="dxa"/>
            <w:right w:w="108" w:type="dxa"/>
          </w:tblCellMar>
        </w:tblPrEx>
        <w:trPr>
          <w:trHeight w:val="320" w:hRule="atLeast"/>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等线" w:cs="Calibri"/>
                <w:b/>
                <w:bCs/>
                <w:color w:val="000000"/>
              </w:rPr>
            </w:pPr>
            <w:r>
              <w:rPr>
                <w:rFonts w:hint="eastAsia" w:cs="Calibri"/>
                <w:b/>
                <w:bCs/>
                <w:color w:val="000000"/>
              </w:rPr>
              <w:t>二、</w:t>
            </w:r>
            <w:r>
              <w:rPr>
                <w:rFonts w:ascii="Times New Roman" w:hAnsi="Times New Roman" w:eastAsia="等线" w:cs="Times New Roman"/>
                <w:b/>
                <w:bCs/>
                <w:color w:val="000000"/>
                <w:sz w:val="14"/>
                <w:szCs w:val="14"/>
              </w:rPr>
              <w:t xml:space="preserve">   </w:t>
            </w:r>
            <w:r>
              <w:rPr>
                <w:rFonts w:hint="eastAsia" w:cs="Calibri"/>
                <w:b/>
                <w:bCs/>
                <w:color w:val="000000"/>
              </w:rPr>
              <w:t>人事管理</w:t>
            </w:r>
          </w:p>
        </w:tc>
      </w:tr>
      <w:tr>
        <w:tblPrEx>
          <w:tblCellMar>
            <w:top w:w="0" w:type="dxa"/>
            <w:left w:w="108" w:type="dxa"/>
            <w:bottom w:w="0" w:type="dxa"/>
            <w:right w:w="108" w:type="dxa"/>
          </w:tblCellMar>
        </w:tblPrEx>
        <w:trPr>
          <w:trHeight w:val="66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人员评估操作权限管理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设定机构中不同人员对关键技术项目、</w:t>
            </w:r>
            <w:r>
              <w:rPr>
                <w:rFonts w:ascii="Calibri" w:hAnsi="Calibri" w:cs="Calibri"/>
                <w:color w:val="000000"/>
              </w:rPr>
              <w:t>DRG/DIP</w:t>
            </w:r>
            <w:r>
              <w:rPr>
                <w:rFonts w:hint="eastAsia"/>
                <w:color w:val="000000"/>
              </w:rPr>
              <w:t>病组的评估操作权限及评估内容范围</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人员账号管理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对人员账号、登陆密码进行管理</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3</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人员岗位管理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管理医疗机构中各类人员的岗位信息</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4</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人员基础信息设置</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设置人员基础信息的各类管理要素</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5</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人员基础信息管理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管理医疗机构中各类人员的基础信息</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6</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人员分类分级调动管理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管理医疗机构中各类人员的分类分级调动，体现人员变更的灵活性</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7</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人事审核管理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对人员关键信息变动进行审核</w:t>
            </w:r>
          </w:p>
        </w:tc>
      </w:tr>
      <w:tr>
        <w:tblPrEx>
          <w:tblCellMar>
            <w:top w:w="0" w:type="dxa"/>
            <w:left w:w="108" w:type="dxa"/>
            <w:bottom w:w="0" w:type="dxa"/>
            <w:right w:w="108" w:type="dxa"/>
          </w:tblCellMar>
        </w:tblPrEx>
        <w:trPr>
          <w:trHeight w:val="3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8</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医疗组</w:t>
            </w:r>
            <w:r>
              <w:rPr>
                <w:rFonts w:ascii="Calibri" w:hAnsi="Calibri" w:cs="Calibri"/>
                <w:color w:val="000000" w:themeColor="text1"/>
                <w14:textFill>
                  <w14:solidFill>
                    <w14:schemeClr w14:val="tx1"/>
                  </w14:solidFill>
                </w14:textFill>
              </w:rPr>
              <w:t>/</w:t>
            </w:r>
            <w:r>
              <w:rPr>
                <w:rFonts w:hint="eastAsia"/>
                <w:color w:val="000000" w:themeColor="text1"/>
                <w14:textFill>
                  <w14:solidFill>
                    <w14:schemeClr w14:val="tx1"/>
                  </w14:solidFill>
                </w14:textFill>
              </w:rPr>
              <w:t>主诊组运营管理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管理医疗组</w:t>
            </w:r>
            <w:r>
              <w:rPr>
                <w:rFonts w:ascii="Calibri" w:hAnsi="Calibri" w:cs="Calibri"/>
                <w:color w:val="000000" w:themeColor="text1"/>
                <w14:textFill>
                  <w14:solidFill>
                    <w14:schemeClr w14:val="tx1"/>
                  </w14:solidFill>
                </w14:textFill>
              </w:rPr>
              <w:t>/</w:t>
            </w:r>
            <w:r>
              <w:rPr>
                <w:rFonts w:hint="eastAsia"/>
                <w:color w:val="000000" w:themeColor="text1"/>
                <w14:textFill>
                  <w14:solidFill>
                    <w14:schemeClr w14:val="tx1"/>
                  </w14:solidFill>
                </w14:textFill>
              </w:rPr>
              <w:t>主诊组的人员信息与变更，满足医疗组/主诊组的动态管理</w:t>
            </w:r>
          </w:p>
        </w:tc>
      </w:tr>
      <w:tr>
        <w:tblPrEx>
          <w:tblCellMar>
            <w:top w:w="0" w:type="dxa"/>
            <w:left w:w="108" w:type="dxa"/>
            <w:bottom w:w="0" w:type="dxa"/>
            <w:right w:w="108" w:type="dxa"/>
          </w:tblCellMar>
        </w:tblPrEx>
        <w:trPr>
          <w:trHeight w:val="320" w:hRule="atLeast"/>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等线" w:cs="Calibri"/>
                <w:b/>
                <w:bCs/>
                <w:color w:val="000000"/>
              </w:rPr>
            </w:pPr>
            <w:r>
              <w:rPr>
                <w:rFonts w:ascii="Calibri" w:hAnsi="Calibri" w:eastAsia="等线" w:cs="Calibri"/>
                <w:b/>
                <w:bCs/>
                <w:color w:val="000000"/>
              </w:rPr>
              <w:t>三、</w:t>
            </w:r>
            <w:r>
              <w:rPr>
                <w:rFonts w:ascii="Times New Roman" w:hAnsi="Times New Roman" w:eastAsia="等线" w:cs="Times New Roman"/>
                <w:b/>
                <w:bCs/>
                <w:color w:val="000000"/>
                <w:sz w:val="14"/>
                <w:szCs w:val="14"/>
              </w:rPr>
              <w:t xml:space="preserve">   </w:t>
            </w:r>
            <w:r>
              <w:rPr>
                <w:rFonts w:hint="eastAsia" w:cs="Calibri"/>
                <w:b/>
                <w:bCs/>
                <w:color w:val="000000"/>
              </w:rPr>
              <w:t>关键技术管理</w:t>
            </w:r>
          </w:p>
        </w:tc>
      </w:tr>
      <w:tr>
        <w:tblPrEx>
          <w:tblCellMar>
            <w:top w:w="0" w:type="dxa"/>
            <w:left w:w="108" w:type="dxa"/>
            <w:bottom w:w="0" w:type="dxa"/>
            <w:right w:w="108" w:type="dxa"/>
          </w:tblCellMar>
        </w:tblPrEx>
        <w:trPr>
          <w:trHeight w:val="9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关键技术定义</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对关键技术进行定义</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关键技术确认</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对关键技术进行确认</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3</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关键技术变更</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关键技术项目的动态变更管理</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4</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关键技术能级评估</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评估关键技术的能级</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5</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关键技术使用变更</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在系统使用过程中变更关键技术的名称及治理方式等信息</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6</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关键技术审核</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审核经各临床医技部门定义后的关键技术，通过审核后具备发布条件</w:t>
            </w:r>
          </w:p>
        </w:tc>
      </w:tr>
      <w:tr>
        <w:tblPrEx>
          <w:tblCellMar>
            <w:top w:w="0" w:type="dxa"/>
            <w:left w:w="108" w:type="dxa"/>
            <w:bottom w:w="0" w:type="dxa"/>
            <w:right w:w="108" w:type="dxa"/>
          </w:tblCellMar>
        </w:tblPrEx>
        <w:trPr>
          <w:trHeight w:val="3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7</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关键技术发布</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对审核后的关键技术目录进行，建立机构</w:t>
            </w:r>
            <w:r>
              <w:rPr>
                <w:rFonts w:ascii="Calibri" w:hAnsi="Calibri" w:cs="Calibri"/>
                <w:color w:val="000000"/>
              </w:rPr>
              <w:t>/</w:t>
            </w:r>
            <w:r>
              <w:rPr>
                <w:rFonts w:hint="eastAsia"/>
                <w:color w:val="000000"/>
              </w:rPr>
              <w:t>科室的关键技术字典库</w:t>
            </w:r>
          </w:p>
        </w:tc>
      </w:tr>
      <w:tr>
        <w:tblPrEx>
          <w:tblCellMar>
            <w:top w:w="0" w:type="dxa"/>
            <w:left w:w="108" w:type="dxa"/>
            <w:bottom w:w="0" w:type="dxa"/>
            <w:right w:w="108" w:type="dxa"/>
          </w:tblCellMar>
        </w:tblPrEx>
        <w:trPr>
          <w:trHeight w:val="320" w:hRule="atLeast"/>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等线" w:cs="Calibri"/>
                <w:b/>
                <w:bCs/>
                <w:color w:val="000000"/>
              </w:rPr>
            </w:pPr>
            <w:r>
              <w:rPr>
                <w:rFonts w:ascii="Calibri" w:hAnsi="Calibri" w:eastAsia="等线" w:cs="Calibri"/>
                <w:b/>
                <w:bCs/>
                <w:color w:val="000000"/>
              </w:rPr>
              <w:t>四、</w:t>
            </w:r>
            <w:r>
              <w:rPr>
                <w:rFonts w:ascii="Times New Roman" w:hAnsi="Times New Roman" w:eastAsia="等线" w:cs="Times New Roman"/>
                <w:b/>
                <w:bCs/>
                <w:color w:val="000000"/>
                <w:sz w:val="14"/>
                <w:szCs w:val="14"/>
              </w:rPr>
              <w:t xml:space="preserve">   </w:t>
            </w:r>
            <w:r>
              <w:rPr>
                <w:rFonts w:hint="eastAsia" w:cs="Calibri"/>
                <w:b/>
                <w:bCs/>
                <w:color w:val="000000"/>
              </w:rPr>
              <w:t>数据变更管理</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数据导入及结果查询</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当关键规则或核心数据发生变化时，需要从中心服务器下载最新的数据资料，并导入到医院的本地运行软件系统中进行更新或升级</w:t>
            </w:r>
          </w:p>
        </w:tc>
      </w:tr>
      <w:tr>
        <w:tblPrEx>
          <w:tblCellMar>
            <w:top w:w="0" w:type="dxa"/>
            <w:left w:w="108" w:type="dxa"/>
            <w:bottom w:w="0" w:type="dxa"/>
            <w:right w:w="108" w:type="dxa"/>
          </w:tblCellMar>
        </w:tblPrEx>
        <w:trPr>
          <w:trHeight w:val="96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本地数据导出及结果查询</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当机构的科室及人员信息、评估及考核规则发生较大变化时，需要重新在中心服务器进行新的评估调整或者测算时，需要将本地的数据资料导出，并更新到中心服务器上，以保证两端的数据一致性</w:t>
            </w:r>
          </w:p>
        </w:tc>
      </w:tr>
      <w:tr>
        <w:tblPrEx>
          <w:tblCellMar>
            <w:top w:w="0" w:type="dxa"/>
            <w:left w:w="108" w:type="dxa"/>
            <w:bottom w:w="0" w:type="dxa"/>
            <w:right w:w="108" w:type="dxa"/>
          </w:tblCellMar>
        </w:tblPrEx>
        <w:trPr>
          <w:trHeight w:val="320" w:hRule="atLeast"/>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等线" w:cs="Calibri"/>
                <w:b/>
                <w:bCs/>
                <w:color w:val="000000"/>
              </w:rPr>
            </w:pPr>
            <w:r>
              <w:rPr>
                <w:rFonts w:ascii="Calibri" w:hAnsi="Calibri" w:eastAsia="等线" w:cs="Calibri"/>
                <w:b/>
                <w:bCs/>
                <w:color w:val="000000"/>
              </w:rPr>
              <w:t>五、</w:t>
            </w:r>
            <w:r>
              <w:rPr>
                <w:rFonts w:ascii="Times New Roman" w:hAnsi="Times New Roman" w:eastAsia="等线" w:cs="Times New Roman"/>
                <w:b/>
                <w:bCs/>
                <w:color w:val="000000"/>
                <w:sz w:val="14"/>
                <w:szCs w:val="14"/>
              </w:rPr>
              <w:t xml:space="preserve">   </w:t>
            </w:r>
            <w:r>
              <w:rPr>
                <w:rFonts w:hint="eastAsia" w:cs="Calibri"/>
                <w:b/>
                <w:bCs/>
                <w:color w:val="000000"/>
              </w:rPr>
              <w:t>评估规则管理</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评估内容管理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设置评估内容模块，体现覆盖医疗服务能力的相关内容</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临床关键技术评估方案管理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管理医技关键技术评估方案，体现评估要素、层次及核心价值内涵</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3</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医技关键技术评估方案管理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管理临床关键技术评估方案，体现评估要素、层次及核心价值内涵</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4</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DRG/DIP评估方案管理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管理DRG/DIP评估方案，体现评估要素、DRG病组间/DIP病种间的价值差异及内涵</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5</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岗位价值评估方案管理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管理岗位价值评估方案，体现组织及岗位的评估要素及核心价值内涵</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6</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评估规则设置</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设置特定评估规则，可以动态组织并满足不同机构、不同科室的个性化以及差异化评估需要</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7</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评估参数设置</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设置评估规则所需的控制参数或者个性化管理参数</w:t>
            </w:r>
          </w:p>
        </w:tc>
      </w:tr>
      <w:tr>
        <w:tblPrEx>
          <w:tblCellMar>
            <w:top w:w="0" w:type="dxa"/>
            <w:left w:w="108" w:type="dxa"/>
            <w:bottom w:w="0" w:type="dxa"/>
            <w:right w:w="108" w:type="dxa"/>
          </w:tblCellMar>
        </w:tblPrEx>
        <w:trPr>
          <w:trHeight w:val="320" w:hRule="atLeast"/>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等线" w:cs="Calibri"/>
                <w:b/>
                <w:bCs/>
                <w:color w:val="000000"/>
              </w:rPr>
            </w:pPr>
            <w:r>
              <w:rPr>
                <w:rFonts w:hint="eastAsia" w:cs="Calibri"/>
                <w:b/>
                <w:bCs/>
                <w:color w:val="000000"/>
              </w:rPr>
              <w:t>六、</w:t>
            </w:r>
            <w:r>
              <w:rPr>
                <w:rFonts w:ascii="Times New Roman" w:hAnsi="Times New Roman" w:eastAsia="等线" w:cs="Times New Roman"/>
                <w:b/>
                <w:bCs/>
                <w:color w:val="000000"/>
                <w:sz w:val="14"/>
                <w:szCs w:val="14"/>
              </w:rPr>
              <w:t xml:space="preserve">   </w:t>
            </w:r>
            <w:r>
              <w:rPr>
                <w:rFonts w:hint="eastAsia" w:cs="Calibri"/>
                <w:b/>
                <w:bCs/>
                <w:color w:val="000000"/>
              </w:rPr>
              <w:t>关键技术评估建模</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临床关键技术初始评估</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对临床关键技术进行初始评估</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医技关键技术初始评估</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对医技关键技术进行初始评估</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3</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关键技术二次评估</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根据关键技术进行第二次评估</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4</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关键技术回顾测算</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对机构历史的关键技术数据进行回顾性分析和关键指标测算</w:t>
            </w:r>
          </w:p>
        </w:tc>
      </w:tr>
      <w:tr>
        <w:tblPrEx>
          <w:tblCellMar>
            <w:top w:w="0" w:type="dxa"/>
            <w:left w:w="108" w:type="dxa"/>
            <w:bottom w:w="0" w:type="dxa"/>
            <w:right w:w="108" w:type="dxa"/>
          </w:tblCellMar>
        </w:tblPrEx>
        <w:trPr>
          <w:trHeight w:val="128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5</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关键技术多层次校验分析</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根据不同关键技术的医疗内涵进行多层次的校验分析，保证评估结果的科学性和适宜性</w:t>
            </w:r>
          </w:p>
        </w:tc>
      </w:tr>
      <w:tr>
        <w:tblPrEx>
          <w:tblCellMar>
            <w:top w:w="0" w:type="dxa"/>
            <w:left w:w="108" w:type="dxa"/>
            <w:bottom w:w="0" w:type="dxa"/>
            <w:right w:w="108" w:type="dxa"/>
          </w:tblCellMar>
        </w:tblPrEx>
        <w:trPr>
          <w:trHeight w:val="9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6</w:t>
            </w:r>
          </w:p>
        </w:tc>
        <w:tc>
          <w:tcPr>
            <w:tcW w:w="3180" w:type="dxa"/>
            <w:gridSpan w:val="2"/>
            <w:tcBorders>
              <w:top w:val="nil"/>
              <w:left w:val="nil"/>
              <w:bottom w:val="nil"/>
              <w:right w:val="single" w:color="auto" w:sz="4" w:space="0"/>
            </w:tcBorders>
            <w:shd w:val="clear" w:color="auto" w:fill="auto"/>
            <w:vAlign w:val="center"/>
          </w:tcPr>
          <w:p>
            <w:pPr>
              <w:rPr>
                <w:color w:val="000000"/>
              </w:rPr>
            </w:pPr>
            <w:r>
              <w:rPr>
                <w:rFonts w:hint="eastAsia"/>
                <w:color w:val="000000"/>
              </w:rPr>
              <w:t>关键技术初始计算</w:t>
            </w:r>
          </w:p>
        </w:tc>
        <w:tc>
          <w:tcPr>
            <w:tcW w:w="5673" w:type="dxa"/>
            <w:tcBorders>
              <w:top w:val="nil"/>
              <w:left w:val="nil"/>
              <w:bottom w:val="nil"/>
              <w:right w:val="single" w:color="auto" w:sz="4" w:space="0"/>
            </w:tcBorders>
            <w:shd w:val="clear" w:color="auto" w:fill="auto"/>
            <w:vAlign w:val="center"/>
          </w:tcPr>
          <w:p>
            <w:pPr>
              <w:jc w:val="both"/>
              <w:rPr>
                <w:color w:val="000000"/>
              </w:rPr>
            </w:pPr>
            <w:r>
              <w:rPr>
                <w:rFonts w:hint="eastAsia"/>
                <w:color w:val="000000"/>
              </w:rPr>
              <w:t>根据关键技术初始评估情况进行计算</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7</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关键技术一级校正</w:t>
            </w:r>
          </w:p>
        </w:tc>
        <w:tc>
          <w:tcPr>
            <w:tcW w:w="5673" w:type="dxa"/>
            <w:tcBorders>
              <w:top w:val="single" w:color="auto" w:sz="4" w:space="0"/>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根据关键技术校多层次验分析结果，对关键技术进行一级校正</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8</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关键技术二级校正</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根据关键技术多层次校验分析结果，对关键技术进行二级校正</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9</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关键技术三级校正</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根据关键技术多层次校验分析结果，对关键技术进行三级校正</w:t>
            </w:r>
          </w:p>
        </w:tc>
      </w:tr>
      <w:tr>
        <w:tblPrEx>
          <w:tblCellMar>
            <w:top w:w="0" w:type="dxa"/>
            <w:left w:w="108" w:type="dxa"/>
            <w:bottom w:w="0" w:type="dxa"/>
            <w:right w:w="108" w:type="dxa"/>
          </w:tblCellMar>
        </w:tblPrEx>
        <w:trPr>
          <w:trHeight w:val="320" w:hRule="atLeast"/>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等线" w:cs="Calibri"/>
                <w:b/>
                <w:bCs/>
                <w:color w:val="000000"/>
              </w:rPr>
            </w:pPr>
            <w:r>
              <w:rPr>
                <w:rFonts w:hint="eastAsia" w:cs="Calibri"/>
                <w:b/>
                <w:bCs/>
                <w:color w:val="000000"/>
              </w:rPr>
              <w:t>七、</w:t>
            </w:r>
            <w:r>
              <w:rPr>
                <w:rFonts w:ascii="Times New Roman" w:hAnsi="Times New Roman" w:eastAsia="等线" w:cs="Times New Roman"/>
                <w:b/>
                <w:bCs/>
                <w:color w:val="000000"/>
                <w:sz w:val="14"/>
                <w:szCs w:val="14"/>
              </w:rPr>
              <w:t>  </w:t>
            </w:r>
            <w:r>
              <w:rPr>
                <w:rFonts w:hint="eastAsia" w:cs="Calibri"/>
                <w:b/>
                <w:bCs/>
                <w:color w:val="000000"/>
                <w:sz w:val="14"/>
                <w:szCs w:val="14"/>
              </w:rPr>
              <w:t xml:space="preserve"> </w:t>
            </w:r>
            <w:r>
              <w:rPr>
                <w:rFonts w:hint="eastAsia" w:cs="Calibri"/>
                <w:b/>
                <w:bCs/>
                <w:color w:val="000000"/>
              </w:rPr>
              <w:t>DRG病组/DIP病种评估建模</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DRG/DIP回顾性测算</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对医院历史病案首页数据进行回顾性测算和分析</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DRG/DIP要素评估</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对不同DRG病组/DIP病种相关要素进行评估</w:t>
            </w:r>
          </w:p>
        </w:tc>
      </w:tr>
      <w:tr>
        <w:tblPrEx>
          <w:tblCellMar>
            <w:top w:w="0" w:type="dxa"/>
            <w:left w:w="108" w:type="dxa"/>
            <w:bottom w:w="0" w:type="dxa"/>
            <w:right w:w="108" w:type="dxa"/>
          </w:tblCellMar>
        </w:tblPrEx>
        <w:trPr>
          <w:trHeight w:val="3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3</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DRG/DIP一级校正</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根据要素评估结果对不同</w:t>
            </w:r>
            <w:r>
              <w:rPr>
                <w:rFonts w:ascii="Calibri" w:hAnsi="Calibri" w:cs="Calibri"/>
                <w:color w:val="000000"/>
              </w:rPr>
              <w:t>DRG</w:t>
            </w:r>
            <w:r>
              <w:rPr>
                <w:rFonts w:hint="eastAsia"/>
                <w:color w:val="000000"/>
              </w:rPr>
              <w:t>病组</w:t>
            </w:r>
            <w:r>
              <w:rPr>
                <w:rFonts w:ascii="Calibri" w:hAnsi="Calibri" w:cs="Calibri"/>
                <w:color w:val="000000"/>
              </w:rPr>
              <w:t>/DIP</w:t>
            </w:r>
            <w:r>
              <w:rPr>
                <w:rFonts w:hint="eastAsia"/>
                <w:color w:val="000000"/>
              </w:rPr>
              <w:t>病种进行一级校正</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4</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DRG/DIP校验分析</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对各个DRG病组/DIP病种进行价值校验分析</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5</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DRG/DIP二级校正</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根据不同DRG病组/DIP病种的激励要素分析结果进行二级校正</w:t>
            </w:r>
          </w:p>
        </w:tc>
      </w:tr>
      <w:tr>
        <w:tblPrEx>
          <w:tblCellMar>
            <w:top w:w="0" w:type="dxa"/>
            <w:left w:w="108" w:type="dxa"/>
            <w:bottom w:w="0" w:type="dxa"/>
            <w:right w:w="108" w:type="dxa"/>
          </w:tblCellMar>
        </w:tblPrEx>
        <w:trPr>
          <w:trHeight w:val="320" w:hRule="atLeast"/>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等线" w:cs="Calibri"/>
                <w:b/>
                <w:bCs/>
                <w:color w:val="000000"/>
              </w:rPr>
            </w:pPr>
            <w:r>
              <w:rPr>
                <w:rFonts w:hint="eastAsia" w:cs="Calibri"/>
                <w:b/>
                <w:bCs/>
                <w:color w:val="000000"/>
              </w:rPr>
              <w:t>八、岗位相对价值评估建模</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医师职系岗位价值评估</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对医师职系基于相关岗位进行岗位风险、难度及负荷评估</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技师职系岗位价值评估</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对技师职系进行岗位风险、难度及负荷评估</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3</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护理单元价值评估</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对护理单元，分别进行技能、风险及负荷评估</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4</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护理职系岗位价值评估</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对护理岗位，分别进行类别及名称定义，在此基础上对护理岗位进行岗位风险、风险及负荷评估</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5</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行政后勤职系岗位价值评估</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对行政后勤各岗位进行标准化的岗位描述，在此基础上对各个岗位进行岗位价值与贡献度的评估</w:t>
            </w:r>
          </w:p>
        </w:tc>
      </w:tr>
      <w:tr>
        <w:tblPrEx>
          <w:tblCellMar>
            <w:top w:w="0" w:type="dxa"/>
            <w:left w:w="108" w:type="dxa"/>
            <w:bottom w:w="0" w:type="dxa"/>
            <w:right w:w="108" w:type="dxa"/>
          </w:tblCellMar>
        </w:tblPrEx>
        <w:trPr>
          <w:trHeight w:val="320" w:hRule="atLeast"/>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等线" w:cs="Calibri"/>
                <w:b/>
                <w:bCs/>
                <w:color w:val="000000"/>
              </w:rPr>
            </w:pPr>
            <w:r>
              <w:rPr>
                <w:rFonts w:hint="eastAsia" w:cs="Calibri"/>
                <w:b/>
                <w:bCs/>
                <w:color w:val="000000"/>
              </w:rPr>
              <w:t>九、</w:t>
            </w:r>
            <w:r>
              <w:rPr>
                <w:rFonts w:ascii="Times New Roman" w:hAnsi="Times New Roman" w:eastAsia="等线" w:cs="Times New Roman"/>
                <w:b/>
                <w:bCs/>
                <w:color w:val="000000"/>
                <w:sz w:val="14"/>
                <w:szCs w:val="14"/>
              </w:rPr>
              <w:t xml:space="preserve">   </w:t>
            </w:r>
            <w:r>
              <w:rPr>
                <w:rFonts w:hint="eastAsia" w:cs="Calibri"/>
                <w:b/>
                <w:bCs/>
                <w:color w:val="000000"/>
              </w:rPr>
              <w:t>数据导入及评估结果计算管理</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运行数据导入</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按标准数据格式从业务系统中定期获取反映医疗服务能力的运行数据，依据不同类别医务人员的工作特点分别导入系统</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数据质量校验</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按照的预设数据质量控制规则，自动对导入的数据进行质控，校验导入数据的完整性、逻辑性和关联性等</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3</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关键技术识别</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根据导入数据在系统中的特定标识和相应的规则识别运行数据中的关键技术</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4</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临床数据重组</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按预设的临床拆分规则，结合信息数据表和不同专科的相关评估要素进行重组</w:t>
            </w:r>
          </w:p>
        </w:tc>
      </w:tr>
      <w:tr>
        <w:tblPrEx>
          <w:tblCellMar>
            <w:top w:w="0" w:type="dxa"/>
            <w:left w:w="108" w:type="dxa"/>
            <w:bottom w:w="0" w:type="dxa"/>
            <w:right w:w="108" w:type="dxa"/>
          </w:tblCellMar>
        </w:tblPrEx>
        <w:trPr>
          <w:trHeight w:val="66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5</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临床科室评估结果计算</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对临床科室评估指标进行计算，得出相应评估结果，包括病种、关键技术等评估结果，体现科室及医疗组</w:t>
            </w:r>
            <w:r>
              <w:rPr>
                <w:rFonts w:ascii="Calibri" w:hAnsi="Calibri" w:cs="Calibri"/>
                <w:color w:val="000000"/>
              </w:rPr>
              <w:t>/</w:t>
            </w:r>
            <w:r>
              <w:rPr>
                <w:rFonts w:hint="eastAsia"/>
                <w:color w:val="000000"/>
              </w:rPr>
              <w:t>主诊组、个人结构层次</w:t>
            </w:r>
          </w:p>
        </w:tc>
      </w:tr>
      <w:tr>
        <w:tblPrEx>
          <w:tblCellMar>
            <w:top w:w="0" w:type="dxa"/>
            <w:left w:w="108" w:type="dxa"/>
            <w:bottom w:w="0" w:type="dxa"/>
            <w:right w:w="108" w:type="dxa"/>
          </w:tblCellMar>
        </w:tblPrEx>
        <w:trPr>
          <w:trHeight w:val="66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6</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医技科室评估结果计算</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对医技科室评估考核指标进行计算，得出相应评估结果，包括关键技术等结果，体现科室及医疗组</w:t>
            </w:r>
            <w:r>
              <w:rPr>
                <w:rFonts w:ascii="Calibri" w:hAnsi="Calibri" w:cs="Calibri"/>
                <w:color w:val="000000"/>
              </w:rPr>
              <w:t>/</w:t>
            </w:r>
            <w:r>
              <w:rPr>
                <w:rFonts w:hint="eastAsia"/>
                <w:color w:val="000000"/>
              </w:rPr>
              <w:t>技师组、个人结构层次</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7</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护理岗位价值系数调整</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根据护理临床工作特征，调整护理岗位价值系数</w:t>
            </w:r>
          </w:p>
        </w:tc>
      </w:tr>
      <w:tr>
        <w:tblPrEx>
          <w:tblCellMar>
            <w:top w:w="0" w:type="dxa"/>
            <w:left w:w="108" w:type="dxa"/>
            <w:bottom w:w="0" w:type="dxa"/>
            <w:right w:w="108" w:type="dxa"/>
          </w:tblCellMar>
        </w:tblPrEx>
        <w:trPr>
          <w:trHeight w:val="22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8</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护理临床综合能力指数计算</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建立科学的评估模型，对护理团队临床工作能力进行计算</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9</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护理评估结果计算</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根据护理临床综合能力指数及相关指标，计算护理岗位评估结果</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10</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行政后勤评估结果计算</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对行政后勤科室关键指标进行计算，得出相应评估结果</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关键技术调整管理</w:t>
            </w:r>
          </w:p>
        </w:tc>
        <w:tc>
          <w:tcPr>
            <w:tcW w:w="5673"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对关键技术的评估计算结果结合质量指标进行调整</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DRG/DIP调整管理</w:t>
            </w:r>
          </w:p>
        </w:tc>
        <w:tc>
          <w:tcPr>
            <w:tcW w:w="5673" w:type="dxa"/>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对DRG病组/DIP病种的评估计算结果结合质量指标进行调整</w:t>
            </w:r>
          </w:p>
        </w:tc>
      </w:tr>
      <w:tr>
        <w:tblPrEx>
          <w:tblCellMar>
            <w:top w:w="0" w:type="dxa"/>
            <w:left w:w="108" w:type="dxa"/>
            <w:bottom w:w="0" w:type="dxa"/>
            <w:right w:w="108" w:type="dxa"/>
          </w:tblCellMar>
        </w:tblPrEx>
        <w:trPr>
          <w:trHeight w:val="320" w:hRule="atLeast"/>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等线" w:cs="Calibri"/>
                <w:b/>
                <w:bCs/>
                <w:color w:val="000000"/>
              </w:rPr>
            </w:pPr>
            <w:r>
              <w:rPr>
                <w:rFonts w:hint="eastAsia" w:cs="Calibri"/>
                <w:b/>
                <w:bCs/>
                <w:color w:val="000000"/>
              </w:rPr>
              <w:t>十、医疗服务能力评估结果查询及分类汇总</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医疗服务能力分析及查询</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在系统内查询各医生（医疗组）、技师、护理单元的医疗服务能力评估分析结果</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科室医疗服务能力评估分析及查询</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在系统内查询各科室的医疗服务能力评估分析结果（含临床、医技及护理）</w:t>
            </w:r>
          </w:p>
        </w:tc>
      </w:tr>
      <w:tr>
        <w:tblPrEx>
          <w:tblCellMar>
            <w:top w:w="0" w:type="dxa"/>
            <w:left w:w="108" w:type="dxa"/>
            <w:bottom w:w="0" w:type="dxa"/>
            <w:right w:w="108" w:type="dxa"/>
          </w:tblCellMar>
        </w:tblPrEx>
        <w:trPr>
          <w:trHeight w:val="320" w:hRule="atLeast"/>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等线" w:cs="Calibri"/>
                <w:b/>
                <w:bCs/>
                <w:color w:val="000000"/>
              </w:rPr>
            </w:pPr>
            <w:r>
              <w:rPr>
                <w:rFonts w:ascii="Calibri" w:hAnsi="Calibri" w:eastAsia="等线" w:cs="Calibri"/>
                <w:b/>
                <w:bCs/>
                <w:color w:val="000000"/>
              </w:rPr>
              <w:t>十一、</w:t>
            </w:r>
            <w:r>
              <w:rPr>
                <w:rFonts w:ascii="Times New Roman" w:hAnsi="Times New Roman" w:eastAsia="等线" w:cs="Times New Roman"/>
                <w:b/>
                <w:bCs/>
                <w:color w:val="000000"/>
                <w:sz w:val="14"/>
                <w:szCs w:val="14"/>
              </w:rPr>
              <w:t xml:space="preserve">   </w:t>
            </w:r>
            <w:r>
              <w:rPr>
                <w:rFonts w:hint="eastAsia" w:cs="Calibri"/>
                <w:b/>
                <w:bCs/>
                <w:color w:val="000000"/>
              </w:rPr>
              <w:t>成本费用管理</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药品费用标杆管理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计算分析药品费用相关数据，设定药品费用标杆</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药品费用消耗差异评估分析及查询</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对运行数据进行计算，分析药品费用消耗差异，在系统内查询医师、医疗组、科室的消耗差异</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3</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耗材费用标杆管理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计算分析耗材费用相关数据，设定耗材费用标杆</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4</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耗材费用消耗差异评估分析及查询</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对运行数据进行计算，分析耗材费用消耗差异，在系统内查询医师、医疗组、科室的消耗差异</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5</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不计价耗材成本标杆管理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计算分析不计价耗材成本相关数据，设定不计价耗材成本标杆</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6</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不计价耗材成本消耗差异评估分析及查询</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对运行数据进行计算，分析不计价耗材消耗差异，在系统内查询科室的消耗差异</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7</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办公成本标杆管理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计算分析办公成本相关数据，设定办公成本标杆</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8</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办公成本消耗差异评估分析及查询</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对运行数据进行计算，分析办公成本消耗差异，在系统内查询科室的消耗差异</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9</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动力消耗成本标杆管理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计算分析药品费用相关数据，设定动力消耗成本标杆</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10</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动力消耗成本消耗差异评估分析及查询</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对运行数据进行计算，分析办公成本消耗差异，在系统内查询科室的消耗差异</w:t>
            </w:r>
          </w:p>
        </w:tc>
      </w:tr>
      <w:tr>
        <w:tblPrEx>
          <w:tblCellMar>
            <w:top w:w="0" w:type="dxa"/>
            <w:left w:w="108" w:type="dxa"/>
            <w:bottom w:w="0" w:type="dxa"/>
            <w:right w:w="108" w:type="dxa"/>
          </w:tblCellMar>
        </w:tblPrEx>
        <w:trPr>
          <w:trHeight w:val="320" w:hRule="atLeast"/>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等线" w:cs="Calibri"/>
                <w:b/>
                <w:bCs/>
                <w:color w:val="000000"/>
              </w:rPr>
            </w:pPr>
            <w:r>
              <w:rPr>
                <w:rFonts w:ascii="Calibri" w:hAnsi="Calibri" w:eastAsia="等线" w:cs="Calibri"/>
                <w:b/>
                <w:bCs/>
                <w:color w:val="000000"/>
              </w:rPr>
              <w:t>十二、</w:t>
            </w:r>
            <w:r>
              <w:rPr>
                <w:rFonts w:ascii="Times New Roman" w:hAnsi="Times New Roman" w:eastAsia="等线" w:cs="Times New Roman"/>
                <w:b/>
                <w:bCs/>
                <w:color w:val="000000"/>
                <w:sz w:val="14"/>
                <w:szCs w:val="14"/>
              </w:rPr>
              <w:t xml:space="preserve">   </w:t>
            </w:r>
            <w:r>
              <w:rPr>
                <w:rFonts w:hint="eastAsia" w:cs="Calibri"/>
                <w:b/>
                <w:bCs/>
                <w:color w:val="000000"/>
              </w:rPr>
              <w:t>薪酬分配管理</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薪酬项目立项管理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对薪酬项目按照类别进行立项管理</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2</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薪酬项目配置管理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对医院相关薪酬项目进行参数配置（包括计算参数，内部控制参数）等，包括对薪酬项目各类属性进行设置，以适配其他功能的链接计算和管理</w:t>
            </w:r>
          </w:p>
        </w:tc>
      </w:tr>
      <w:tr>
        <w:tblPrEx>
          <w:tblCellMar>
            <w:top w:w="0" w:type="dxa"/>
            <w:left w:w="108" w:type="dxa"/>
            <w:bottom w:w="0" w:type="dxa"/>
            <w:right w:w="108" w:type="dxa"/>
          </w:tblCellMar>
        </w:tblPrEx>
        <w:trPr>
          <w:trHeight w:val="64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3</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薪酬核算管理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对各类薪酬项目进行核算，包括对绩效计算结果的链接，自动生成薪酬项目核算结果，包括各类薪酬项目对应不同核算单元及层次的核算</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4</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薪酬核算审核</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对核算结果进行审核</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5</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质量调整管理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对薪酬项目进行质量考核结果的调整，包括设定相关质量调整参数等</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6</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科室薪酬分配管理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被科室负责人在科室薪酬总额范围内进行分配</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7</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医疗组薪酬分配管理</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被医疗组长在医疗组薪酬总额范围内进行分配</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8</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薪酬分配审核</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对各级各类薪酬分配结果进行审核</w:t>
            </w:r>
          </w:p>
        </w:tc>
      </w:tr>
      <w:tr>
        <w:tblPrEx>
          <w:tblCellMar>
            <w:top w:w="0" w:type="dxa"/>
            <w:left w:w="108" w:type="dxa"/>
            <w:bottom w:w="0" w:type="dxa"/>
            <w:right w:w="108" w:type="dxa"/>
          </w:tblCellMar>
        </w:tblPrEx>
        <w:trPr>
          <w:trHeight w:val="320" w:hRule="atLeast"/>
        </w:trPr>
        <w:tc>
          <w:tcPr>
            <w:tcW w:w="640" w:type="dxa"/>
            <w:gridSpan w:val="2"/>
            <w:tcBorders>
              <w:top w:val="nil"/>
              <w:left w:val="single" w:color="auto" w:sz="4" w:space="0"/>
              <w:bottom w:val="single" w:color="auto" w:sz="4" w:space="0"/>
              <w:right w:val="single" w:color="auto" w:sz="4" w:space="0"/>
            </w:tcBorders>
            <w:shd w:val="clear" w:color="auto" w:fill="auto"/>
            <w:vAlign w:val="center"/>
          </w:tcPr>
          <w:p>
            <w:pPr>
              <w:jc w:val="center"/>
              <w:rPr>
                <w:color w:val="000000"/>
              </w:rPr>
            </w:pPr>
            <w:r>
              <w:rPr>
                <w:rFonts w:hint="eastAsia"/>
                <w:color w:val="000000"/>
              </w:rPr>
              <w:t>9</w:t>
            </w:r>
          </w:p>
        </w:tc>
        <w:tc>
          <w:tcPr>
            <w:tcW w:w="3180" w:type="dxa"/>
            <w:gridSpan w:val="2"/>
            <w:tcBorders>
              <w:top w:val="nil"/>
              <w:left w:val="nil"/>
              <w:bottom w:val="single" w:color="auto" w:sz="4" w:space="0"/>
              <w:right w:val="single" w:color="auto" w:sz="4" w:space="0"/>
            </w:tcBorders>
            <w:shd w:val="clear" w:color="auto" w:fill="auto"/>
            <w:vAlign w:val="center"/>
          </w:tcPr>
          <w:p>
            <w:pPr>
              <w:rPr>
                <w:color w:val="000000"/>
              </w:rPr>
            </w:pPr>
            <w:r>
              <w:rPr>
                <w:rFonts w:hint="eastAsia"/>
                <w:color w:val="000000"/>
              </w:rPr>
              <w:t>薪酬结果查询</w:t>
            </w:r>
          </w:p>
        </w:tc>
        <w:tc>
          <w:tcPr>
            <w:tcW w:w="5673" w:type="dxa"/>
            <w:tcBorders>
              <w:top w:val="nil"/>
              <w:left w:val="nil"/>
              <w:bottom w:val="single" w:color="auto" w:sz="4" w:space="0"/>
              <w:right w:val="single" w:color="auto" w:sz="4" w:space="0"/>
            </w:tcBorders>
            <w:shd w:val="clear" w:color="auto" w:fill="auto"/>
            <w:vAlign w:val="center"/>
          </w:tcPr>
          <w:p>
            <w:pPr>
              <w:jc w:val="both"/>
              <w:rPr>
                <w:color w:val="000000"/>
              </w:rPr>
            </w:pPr>
            <w:r>
              <w:rPr>
                <w:rFonts w:hint="eastAsia"/>
                <w:color w:val="000000"/>
              </w:rPr>
              <w:t>查询个人、医疗组、科室等各类薪酬分配结果</w:t>
            </w:r>
          </w:p>
        </w:tc>
      </w:tr>
      <w:tr>
        <w:tblPrEx>
          <w:tblCellMar>
            <w:top w:w="0" w:type="dxa"/>
            <w:left w:w="108" w:type="dxa"/>
            <w:bottom w:w="0" w:type="dxa"/>
            <w:right w:w="108" w:type="dxa"/>
          </w:tblCellMar>
        </w:tblPrEx>
        <w:trPr>
          <w:trHeight w:val="476" w:hRule="atLeast"/>
        </w:trPr>
        <w:tc>
          <w:tcPr>
            <w:tcW w:w="94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 w:val="24"/>
                <w:szCs w:val="24"/>
                <w:lang w:bidi="ar"/>
              </w:rPr>
            </w:pPr>
            <w:r>
              <w:rPr>
                <w:rStyle w:val="36"/>
                <w:rFonts w:hint="default"/>
                <w:lang w:bidi="ar"/>
              </w:rPr>
              <w:t>十三、DRG分组服务</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000000"/>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病案首页数据清洗</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对病案首页进行数据清洗，剔除差错数据，为分组提供条件。</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000000"/>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DRG预分组</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抽取部分数据样本进行预分组，评估分组的科学性和有效性。</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000000"/>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DRG分组</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对预分组结果进行调整，再次进行分组，形成病案首页分组结果。</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000000"/>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DRG权重测试</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对病案首页费用进行测算，优化资源消耗形成权重的机制。</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000000"/>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DRG权重计算</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对病案首页费用数据进行计算，产生正式的权重。</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000000"/>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DRG关键指标计算</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对分组结果及权重结果进行关键指标分析，包括CMI、时间消耗、费用消耗等。</w:t>
            </w:r>
          </w:p>
        </w:tc>
      </w:tr>
      <w:tr>
        <w:tblPrEx>
          <w:tblCellMar>
            <w:top w:w="0" w:type="dxa"/>
            <w:left w:w="108" w:type="dxa"/>
            <w:bottom w:w="0" w:type="dxa"/>
            <w:right w:w="108" w:type="dxa"/>
          </w:tblCellMar>
        </w:tblPrEx>
        <w:trPr>
          <w:trHeight w:val="443" w:hRule="atLeast"/>
        </w:trPr>
        <w:tc>
          <w:tcPr>
            <w:tcW w:w="94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24"/>
                <w:szCs w:val="24"/>
                <w:lang w:bidi="ar"/>
              </w:rPr>
            </w:pPr>
            <w:r>
              <w:rPr>
                <w:rStyle w:val="36"/>
                <w:rFonts w:hint="default"/>
                <w:color w:val="auto"/>
                <w:lang w:bidi="ar"/>
              </w:rPr>
              <w:t>十四、KPI管理</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auto"/>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数据源维护</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对系统内实施KPI管理的源数据进行维护，明确数据来源和口径。</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auto"/>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医院数据校验配置</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对实施KPI管理的源数据进行校验，防范差错数据导致的偏差。</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auto"/>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KPI数据上传</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定期上传KPI数据。</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auto"/>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系统KPI配置</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对KPI标准字典库进行管理，包括相关指标标杆。</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auto"/>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医院KPI配置</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对KPI扩展字典库进行管理，包括相关指标标杆。</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auto"/>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KPI差异分析</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实施KPI差异计算，产生KPI差异数据。</w:t>
            </w:r>
          </w:p>
        </w:tc>
      </w:tr>
      <w:tr>
        <w:tblPrEx>
          <w:tblCellMar>
            <w:top w:w="0" w:type="dxa"/>
            <w:left w:w="108" w:type="dxa"/>
            <w:bottom w:w="0" w:type="dxa"/>
            <w:right w:w="108" w:type="dxa"/>
          </w:tblCellMar>
        </w:tblPrEx>
        <w:trPr>
          <w:trHeight w:val="442" w:hRule="atLeast"/>
        </w:trPr>
        <w:tc>
          <w:tcPr>
            <w:tcW w:w="94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24"/>
                <w:szCs w:val="24"/>
                <w:lang w:bidi="ar"/>
              </w:rPr>
            </w:pPr>
            <w:r>
              <w:rPr>
                <w:rStyle w:val="36"/>
                <w:rFonts w:hint="default"/>
                <w:color w:val="auto"/>
                <w:lang w:bidi="ar"/>
              </w:rPr>
              <w:t>十五、评估方案设计</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auto"/>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院内培训宣讲</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评估工作启动时进行院内培训与宣讲。</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auto"/>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科室调研访谈</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对科室进行逐一调研访谈。</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auto"/>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评估数据测试及分析</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对评估数据进行测试，设定明确参数并进一步对比分析。</w:t>
            </w:r>
          </w:p>
        </w:tc>
      </w:tr>
      <w:tr>
        <w:tblPrEx>
          <w:tblCellMar>
            <w:top w:w="0" w:type="dxa"/>
            <w:left w:w="108" w:type="dxa"/>
            <w:bottom w:w="0" w:type="dxa"/>
            <w:right w:w="108" w:type="dxa"/>
          </w:tblCellMar>
        </w:tblPrEx>
        <w:trPr>
          <w:trHeight w:val="315"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center"/>
              <w:textAlignment w:val="center"/>
              <w:rPr>
                <w:rFonts w:ascii="宋体" w:hAnsi="宋体" w:eastAsia="宋体" w:cs="宋体"/>
                <w:color w:val="auto"/>
                <w:sz w:val="24"/>
              </w:rPr>
            </w:pPr>
          </w:p>
        </w:tc>
        <w:tc>
          <w:tcPr>
            <w:tcW w:w="24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方案定稿</w:t>
            </w:r>
          </w:p>
        </w:tc>
        <w:tc>
          <w:tcPr>
            <w:tcW w:w="6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编写方案并与医院交互后定稿提交。</w:t>
            </w:r>
          </w:p>
        </w:tc>
      </w:tr>
    </w:tbl>
    <w:p>
      <w:pPr>
        <w:pStyle w:val="33"/>
        <w:spacing w:line="360" w:lineRule="auto"/>
        <w:ind w:firstLine="420"/>
      </w:pPr>
    </w:p>
    <w:p>
      <w:pPr>
        <w:pStyle w:val="4"/>
        <w:numPr>
          <w:ilvl w:val="2"/>
          <w:numId w:val="2"/>
        </w:numPr>
        <w:spacing w:line="360" w:lineRule="auto"/>
        <w:ind w:right="240"/>
      </w:pPr>
      <w:bookmarkStart w:id="28" w:name="_Toc101514056"/>
      <w:r>
        <w:rPr>
          <w:rFonts w:hint="eastAsia"/>
        </w:rPr>
        <w:t>数据库建设</w:t>
      </w:r>
      <w:bookmarkEnd w:id="28"/>
    </w:p>
    <w:p>
      <w:pPr>
        <w:pStyle w:val="5"/>
        <w:numPr>
          <w:ilvl w:val="3"/>
          <w:numId w:val="2"/>
        </w:numPr>
        <w:spacing w:line="360" w:lineRule="auto"/>
        <w:ind w:firstLineChars="0"/>
      </w:pPr>
      <w:r>
        <w:rPr>
          <w:rFonts w:hint="eastAsia"/>
        </w:rPr>
        <w:t>建设的原则</w:t>
      </w:r>
    </w:p>
    <w:p>
      <w:pPr>
        <w:pStyle w:val="34"/>
        <w:numPr>
          <w:ilvl w:val="0"/>
          <w:numId w:val="5"/>
        </w:numPr>
        <w:adjustRightInd w:val="0"/>
        <w:spacing w:before="100" w:line="360" w:lineRule="auto"/>
        <w:ind w:left="714" w:hanging="357" w:firstLineChars="0"/>
        <w:jc w:val="left"/>
        <w:textAlignment w:val="baseline"/>
        <w:rPr>
          <w:rFonts w:asciiTheme="minorEastAsia" w:hAnsiTheme="minorEastAsia" w:eastAsiaTheme="minorEastAsia"/>
          <w:b/>
          <w:sz w:val="24"/>
          <w:szCs w:val="24"/>
        </w:rPr>
      </w:pPr>
      <w:r>
        <w:rPr>
          <w:rFonts w:asciiTheme="minorEastAsia" w:hAnsiTheme="minorEastAsia" w:eastAsiaTheme="minorEastAsia"/>
          <w:b/>
          <w:sz w:val="24"/>
          <w:szCs w:val="24"/>
        </w:rPr>
        <w:t>实用性原则</w:t>
      </w:r>
    </w:p>
    <w:p>
      <w:pPr>
        <w:spacing w:line="360" w:lineRule="auto"/>
        <w:ind w:firstLine="480"/>
        <w:rPr>
          <w:rFonts w:asciiTheme="minorEastAsia" w:hAnsiTheme="minorEastAsia" w:eastAsiaTheme="minorEastAsia"/>
        </w:rPr>
      </w:pPr>
      <w:r>
        <w:rPr>
          <w:rFonts w:asciiTheme="minorEastAsia" w:hAnsiTheme="minorEastAsia" w:eastAsiaTheme="minorEastAsia"/>
        </w:rPr>
        <w:t>首先满足本项目各类信息数据信息整合，以及一体化组织和管理与服务的需要。</w:t>
      </w:r>
    </w:p>
    <w:p>
      <w:pPr>
        <w:pStyle w:val="34"/>
        <w:numPr>
          <w:ilvl w:val="0"/>
          <w:numId w:val="5"/>
        </w:numPr>
        <w:adjustRightInd w:val="0"/>
        <w:spacing w:before="100" w:line="360" w:lineRule="auto"/>
        <w:ind w:left="714" w:hanging="357" w:firstLineChars="0"/>
        <w:jc w:val="left"/>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先进性原则</w:t>
      </w:r>
    </w:p>
    <w:p>
      <w:pPr>
        <w:spacing w:line="360" w:lineRule="auto"/>
        <w:ind w:firstLine="480"/>
        <w:rPr>
          <w:rFonts w:asciiTheme="minorEastAsia" w:hAnsiTheme="minorEastAsia" w:eastAsiaTheme="minorEastAsia"/>
        </w:rPr>
      </w:pPr>
      <w:r>
        <w:rPr>
          <w:rFonts w:asciiTheme="minorEastAsia" w:hAnsiTheme="minorEastAsia" w:eastAsiaTheme="minorEastAsia"/>
        </w:rPr>
        <w:t>考虑技术进步和今后信息库的发展，主要体现在技术规范、技术水平、数据库产品选择、设计方法采用先进技术等几个方面。</w:t>
      </w:r>
    </w:p>
    <w:p>
      <w:pPr>
        <w:pStyle w:val="34"/>
        <w:numPr>
          <w:ilvl w:val="0"/>
          <w:numId w:val="5"/>
        </w:numPr>
        <w:adjustRightInd w:val="0"/>
        <w:spacing w:before="100" w:line="360" w:lineRule="auto"/>
        <w:ind w:left="714" w:hanging="357" w:firstLineChars="0"/>
        <w:jc w:val="left"/>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标准化原则</w:t>
      </w:r>
    </w:p>
    <w:p>
      <w:pPr>
        <w:spacing w:line="360" w:lineRule="auto"/>
        <w:ind w:firstLine="480"/>
        <w:rPr>
          <w:rFonts w:asciiTheme="minorEastAsia" w:hAnsiTheme="minorEastAsia" w:eastAsiaTheme="minorEastAsia"/>
        </w:rPr>
      </w:pPr>
      <w:r>
        <w:rPr>
          <w:rFonts w:asciiTheme="minorEastAsia" w:hAnsiTheme="minorEastAsia" w:eastAsiaTheme="minorEastAsia"/>
        </w:rPr>
        <w:t>数据库设计中首先遵从国家数据库设计标准，同时符合相关的国际标准、国家标准和国家电子政务标准。采用先进的标准设计技术；具有科学性和先进性；并将标准化工作贯穿信息库建设的全过程。此外，要充分将信息库标准化所需各项标准纳入相应的体系表中，使标准一致和配套，构成一个完整、全面的整体，使用户方便地通过体系表找到所需的标准或了解所需标准当前状况。</w:t>
      </w:r>
    </w:p>
    <w:p>
      <w:pPr>
        <w:pStyle w:val="34"/>
        <w:numPr>
          <w:ilvl w:val="0"/>
          <w:numId w:val="5"/>
        </w:numPr>
        <w:adjustRightInd w:val="0"/>
        <w:spacing w:before="100" w:line="360" w:lineRule="auto"/>
        <w:ind w:left="714" w:hanging="357" w:firstLineChars="0"/>
        <w:jc w:val="left"/>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一致性原则</w:t>
      </w:r>
    </w:p>
    <w:p>
      <w:pPr>
        <w:spacing w:line="360" w:lineRule="auto"/>
        <w:ind w:firstLine="315" w:firstLineChars="150"/>
        <w:rPr>
          <w:rFonts w:asciiTheme="minorEastAsia" w:hAnsiTheme="minorEastAsia" w:eastAsiaTheme="minorEastAsia"/>
        </w:rPr>
      </w:pPr>
      <w:r>
        <w:rPr>
          <w:rFonts w:asciiTheme="minorEastAsia" w:hAnsiTheme="minorEastAsia" w:eastAsiaTheme="minorEastAsia"/>
        </w:rPr>
        <w:t>对信息进行统一，保证系统数据的一致性和有效性。</w:t>
      </w:r>
    </w:p>
    <w:p>
      <w:pPr>
        <w:pStyle w:val="34"/>
        <w:numPr>
          <w:ilvl w:val="0"/>
          <w:numId w:val="5"/>
        </w:numPr>
        <w:adjustRightInd w:val="0"/>
        <w:spacing w:before="100" w:line="360" w:lineRule="auto"/>
        <w:ind w:left="714" w:hanging="357" w:firstLineChars="0"/>
        <w:jc w:val="left"/>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规范化原则</w:t>
      </w:r>
    </w:p>
    <w:p>
      <w:pPr>
        <w:spacing w:line="360" w:lineRule="auto"/>
        <w:ind w:firstLine="480"/>
        <w:rPr>
          <w:rFonts w:asciiTheme="minorEastAsia" w:hAnsiTheme="minorEastAsia" w:eastAsiaTheme="minorEastAsia"/>
        </w:rPr>
      </w:pPr>
      <w:r>
        <w:rPr>
          <w:rFonts w:asciiTheme="minorEastAsia" w:hAnsiTheme="minorEastAsia" w:eastAsiaTheme="minorEastAsia"/>
        </w:rPr>
        <w:t>数据库的设计应遵循规范化理论，规范化程度过低的关系，可能会存在数据冗余等问题，解决的方法就是对关系模式进行分解或合并（规范化），转换成高级范式。</w:t>
      </w:r>
    </w:p>
    <w:p>
      <w:pPr>
        <w:pStyle w:val="34"/>
        <w:numPr>
          <w:ilvl w:val="0"/>
          <w:numId w:val="5"/>
        </w:numPr>
        <w:adjustRightInd w:val="0"/>
        <w:spacing w:before="100" w:line="360" w:lineRule="auto"/>
        <w:ind w:left="714" w:hanging="357" w:firstLineChars="0"/>
        <w:jc w:val="left"/>
        <w:textAlignment w:val="baseline"/>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安全性原则</w:t>
      </w:r>
    </w:p>
    <w:p>
      <w:pPr>
        <w:spacing w:line="360" w:lineRule="auto"/>
        <w:ind w:firstLine="48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rPr>
        <w:t>数据库的安全性是指保护数据，防止非法用户使用数据库或合法用户非法使用数据库造成数据泄露、</w:t>
      </w:r>
      <w:r>
        <w:rPr>
          <w:rFonts w:asciiTheme="minorEastAsia" w:hAnsiTheme="minorEastAsia" w:eastAsiaTheme="minorEastAsia"/>
          <w:color w:val="000000" w:themeColor="text1"/>
          <w14:textFill>
            <w14:solidFill>
              <w14:schemeClr w14:val="tx1"/>
            </w14:solidFill>
          </w14:textFill>
        </w:rPr>
        <w:t>更改或破坏。要有认证和授权机制。</w:t>
      </w:r>
    </w:p>
    <w:p>
      <w:pPr>
        <w:pStyle w:val="5"/>
        <w:numPr>
          <w:ilvl w:val="3"/>
          <w:numId w:val="2"/>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数据库技术要求</w:t>
      </w:r>
    </w:p>
    <w:p>
      <w:pPr>
        <w:pStyle w:val="34"/>
        <w:numPr>
          <w:ilvl w:val="0"/>
          <w:numId w:val="6"/>
        </w:numPr>
        <w:adjustRightInd w:val="0"/>
        <w:spacing w:line="360" w:lineRule="auto"/>
        <w:ind w:left="0" w:firstLine="567" w:firstLineChars="0"/>
        <w:jc w:val="left"/>
        <w:textAlignment w:val="baseline"/>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提供与oracle、DB2、MYSQL、SQL SERVER等数据库的数据交换技术。</w:t>
      </w:r>
    </w:p>
    <w:p>
      <w:pPr>
        <w:pStyle w:val="34"/>
        <w:numPr>
          <w:ilvl w:val="0"/>
          <w:numId w:val="6"/>
        </w:numPr>
        <w:adjustRightInd w:val="0"/>
        <w:spacing w:line="360" w:lineRule="auto"/>
        <w:ind w:left="0" w:firstLine="567" w:firstLineChars="0"/>
        <w:jc w:val="left"/>
        <w:textAlignment w:val="baseline"/>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能与医院HIS、病案、财务、物资（SPD）、HRP等业务系统进行数据交换，及时更新数据，提供快捷读取数据。</w:t>
      </w:r>
    </w:p>
    <w:p>
      <w:pPr>
        <w:pStyle w:val="34"/>
        <w:numPr>
          <w:ilvl w:val="0"/>
          <w:numId w:val="6"/>
        </w:numPr>
        <w:adjustRightInd w:val="0"/>
        <w:spacing w:line="360" w:lineRule="auto"/>
        <w:ind w:left="0" w:firstLine="567" w:firstLineChars="0"/>
        <w:jc w:val="left"/>
        <w:textAlignment w:val="baseline"/>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保证数据安全性、数据的完整性、并发控制以及数据库恢复等。</w:t>
      </w:r>
    </w:p>
    <w:p>
      <w:pPr>
        <w:pStyle w:val="34"/>
        <w:numPr>
          <w:ilvl w:val="0"/>
          <w:numId w:val="6"/>
        </w:numPr>
        <w:adjustRightInd w:val="0"/>
        <w:spacing w:line="360" w:lineRule="auto"/>
        <w:ind w:left="0" w:firstLine="567" w:firstLineChars="0"/>
        <w:jc w:val="left"/>
        <w:textAlignment w:val="baseline"/>
        <w:rPr>
          <w:rFonts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 xml:space="preserve">支持多数据源数据整理及运用，包括文件数据来源，用户数据来源及系统数据来源整理和运用。 </w:t>
      </w:r>
    </w:p>
    <w:p>
      <w:pPr>
        <w:pStyle w:val="5"/>
        <w:numPr>
          <w:ilvl w:val="3"/>
          <w:numId w:val="2"/>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数据库设计</w:t>
      </w:r>
    </w:p>
    <w:p>
      <w:pPr>
        <w:pStyle w:val="6"/>
        <w:spacing w:line="360" w:lineRule="auto"/>
        <w:ind w:firstLine="36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系统的数据设计，从现实角度来看，可以划分为五大类：单据数据库、规则数据库、</w:t>
      </w:r>
      <w:r>
        <w:rPr>
          <w:rFonts w:hint="eastAsia" w:ascii="宋体" w:hAnsi="宋体"/>
          <w:color w:val="000000" w:themeColor="text1"/>
          <w14:textFill>
            <w14:solidFill>
              <w14:schemeClr w14:val="tx1"/>
            </w14:solidFill>
          </w14:textFill>
        </w:rPr>
        <w:t>分组</w:t>
      </w:r>
      <w:r>
        <w:rPr>
          <w:rFonts w:ascii="宋体" w:hAnsi="宋体"/>
          <w:color w:val="000000" w:themeColor="text1"/>
          <w14:textFill>
            <w14:solidFill>
              <w14:schemeClr w14:val="tx1"/>
            </w14:solidFill>
          </w14:textFill>
        </w:rPr>
        <w:t>数据库、系统数据库、决策数据库。</w:t>
      </w:r>
    </w:p>
    <w:p>
      <w:pPr>
        <w:pStyle w:val="6"/>
        <w:numPr>
          <w:ilvl w:val="0"/>
          <w:numId w:val="7"/>
        </w:numPr>
        <w:spacing w:line="360" w:lineRule="auto"/>
        <w:ind w:left="0" w:firstLine="567"/>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单据数据库包括：</w:t>
      </w:r>
      <w:r>
        <w:rPr>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单据数据、单据明细数据、单据附件数据等。</w:t>
      </w:r>
    </w:p>
    <w:p>
      <w:pPr>
        <w:pStyle w:val="6"/>
        <w:numPr>
          <w:ilvl w:val="0"/>
          <w:numId w:val="7"/>
        </w:numPr>
        <w:spacing w:line="360" w:lineRule="auto"/>
        <w:ind w:left="0" w:firstLine="567"/>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规则数据库包括：</w:t>
      </w:r>
      <w:r>
        <w:rPr>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规则数据、相关单据明细项数据、限定支付项目编码数据、规则分组数据等。</w:t>
      </w:r>
    </w:p>
    <w:p>
      <w:pPr>
        <w:pStyle w:val="6"/>
        <w:numPr>
          <w:ilvl w:val="0"/>
          <w:numId w:val="7"/>
        </w:numPr>
        <w:spacing w:line="360" w:lineRule="auto"/>
        <w:ind w:left="0" w:firstLine="567"/>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分组</w:t>
      </w:r>
      <w:r>
        <w:rPr>
          <w:rFonts w:ascii="宋体" w:hAnsi="宋体"/>
          <w:b/>
          <w:color w:val="000000" w:themeColor="text1"/>
          <w14:textFill>
            <w14:solidFill>
              <w14:schemeClr w14:val="tx1"/>
            </w14:solidFill>
          </w14:textFill>
        </w:rPr>
        <w:t>数据库包括：</w:t>
      </w:r>
      <w:r>
        <w:rPr>
          <w:rFonts w:hint="eastAsia" w:ascii="宋体" w:hAnsi="宋体"/>
          <w:color w:val="000000" w:themeColor="text1"/>
          <w14:textFill>
            <w14:solidFill>
              <w14:schemeClr w14:val="tx1"/>
            </w14:solidFill>
          </w14:textFill>
        </w:rPr>
        <w:t>分组逻辑数据、</w:t>
      </w:r>
      <w:r>
        <w:rPr>
          <w:rFonts w:ascii="宋体" w:hAnsi="宋体"/>
          <w:color w:val="000000" w:themeColor="text1"/>
          <w14:textFill>
            <w14:solidFill>
              <w14:schemeClr w14:val="tx1"/>
            </w14:solidFill>
          </w14:textFill>
        </w:rPr>
        <w:t>记录数据、</w:t>
      </w:r>
      <w:r>
        <w:rPr>
          <w:rFonts w:hint="eastAsia" w:ascii="宋体" w:hAnsi="宋体"/>
          <w:color w:val="000000" w:themeColor="text1"/>
          <w14:textFill>
            <w14:solidFill>
              <w14:schemeClr w14:val="tx1"/>
            </w14:solidFill>
          </w14:textFill>
        </w:rPr>
        <w:t>分组</w:t>
      </w:r>
      <w:r>
        <w:rPr>
          <w:rFonts w:ascii="宋体" w:hAnsi="宋体"/>
          <w:color w:val="000000" w:themeColor="text1"/>
          <w14:textFill>
            <w14:solidFill>
              <w14:schemeClr w14:val="tx1"/>
            </w14:solidFill>
          </w14:textFill>
        </w:rPr>
        <w:t>结果数据、</w:t>
      </w:r>
      <w:r>
        <w:rPr>
          <w:rFonts w:hint="eastAsia" w:ascii="宋体" w:hAnsi="宋体"/>
          <w:color w:val="000000" w:themeColor="text1"/>
          <w14:textFill>
            <w14:solidFill>
              <w14:schemeClr w14:val="tx1"/>
            </w14:solidFill>
          </w14:textFill>
        </w:rPr>
        <w:t>分组</w:t>
      </w:r>
      <w:r>
        <w:rPr>
          <w:rFonts w:ascii="宋体" w:hAnsi="宋体"/>
          <w:color w:val="000000" w:themeColor="text1"/>
          <w14:textFill>
            <w14:solidFill>
              <w14:schemeClr w14:val="tx1"/>
            </w14:solidFill>
          </w14:textFill>
        </w:rPr>
        <w:t>结果相关单据数据等。</w:t>
      </w:r>
    </w:p>
    <w:p>
      <w:pPr>
        <w:pStyle w:val="6"/>
        <w:numPr>
          <w:ilvl w:val="0"/>
          <w:numId w:val="7"/>
        </w:numPr>
        <w:spacing w:line="360" w:lineRule="auto"/>
        <w:ind w:left="0" w:firstLine="567"/>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系统数据库包括：</w:t>
      </w:r>
      <w:r>
        <w:rPr>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权限数据，参数数据，分组数据等。</w:t>
      </w:r>
    </w:p>
    <w:p>
      <w:pPr>
        <w:pStyle w:val="6"/>
        <w:numPr>
          <w:ilvl w:val="0"/>
          <w:numId w:val="7"/>
        </w:numPr>
        <w:spacing w:line="360" w:lineRule="auto"/>
        <w:ind w:left="0" w:firstLine="567"/>
        <w:rPr>
          <w:color w:val="000000" w:themeColor="text1"/>
          <w14:textFill>
            <w14:solidFill>
              <w14:schemeClr w14:val="tx1"/>
            </w14:solidFill>
          </w14:textFill>
        </w:rPr>
      </w:pPr>
      <w:r>
        <w:rPr>
          <w:b/>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决策数据库包括：</w:t>
      </w:r>
      <w:r>
        <w:rPr>
          <w:rFonts w:ascii="宋体" w:hAnsi="宋体"/>
          <w:color w:val="000000" w:themeColor="text1"/>
          <w14:textFill>
            <w14:solidFill>
              <w14:schemeClr w14:val="tx1"/>
            </w14:solidFill>
          </w14:textFill>
        </w:rPr>
        <w:t>维度表、统计表、映射表等。</w:t>
      </w:r>
    </w:p>
    <w:p>
      <w:pPr>
        <w:pStyle w:val="4"/>
        <w:numPr>
          <w:ilvl w:val="2"/>
          <w:numId w:val="2"/>
        </w:numPr>
        <w:spacing w:line="360" w:lineRule="auto"/>
        <w:ind w:right="240"/>
        <w:rPr>
          <w:color w:val="000000" w:themeColor="text1"/>
          <w14:textFill>
            <w14:solidFill>
              <w14:schemeClr w14:val="tx1"/>
            </w14:solidFill>
          </w14:textFill>
        </w:rPr>
      </w:pPr>
      <w:bookmarkStart w:id="29" w:name="_Toc101514057"/>
      <w:r>
        <w:rPr>
          <w:rFonts w:hint="eastAsia"/>
          <w:color w:val="000000" w:themeColor="text1"/>
          <w14:textFill>
            <w14:solidFill>
              <w14:schemeClr w14:val="tx1"/>
            </w14:solidFill>
          </w14:textFill>
        </w:rPr>
        <w:t>服务器配置需求</w:t>
      </w:r>
      <w:bookmarkEnd w:id="29"/>
    </w:p>
    <w:p>
      <w:pPr>
        <w:widowControl w:val="0"/>
        <w:numPr>
          <w:ilvl w:val="0"/>
          <w:numId w:val="8"/>
        </w:numPr>
        <w:adjustRightInd w:val="0"/>
        <w:spacing w:line="360" w:lineRule="auto"/>
        <w:ind w:left="0" w:firstLine="482"/>
        <w:jc w:val="both"/>
        <w:rPr>
          <w:rFonts w:cs="Times New Roman"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分组器服务和规则审核引擎服务</w:t>
      </w:r>
    </w:p>
    <w:p>
      <w:pPr>
        <w:widowControl w:val="0"/>
        <w:numPr>
          <w:ilvl w:val="0"/>
          <w:numId w:val="9"/>
        </w:numPr>
        <w:adjustRightInd w:val="0"/>
        <w:spacing w:line="360" w:lineRule="auto"/>
        <w:ind w:left="0" w:firstLine="482"/>
        <w:jc w:val="both"/>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b/>
          <w:color w:val="000000" w:themeColor="text1"/>
          <w14:textFill>
            <w14:solidFill>
              <w14:schemeClr w14:val="tx1"/>
            </w14:solidFill>
          </w14:textFill>
        </w:rPr>
        <w:t>操作系统：</w:t>
      </w:r>
      <w:r>
        <w:rPr>
          <w:rFonts w:hint="eastAsia" w:cs="Arial" w:asciiTheme="minorEastAsia" w:hAnsiTheme="minorEastAsia" w:eastAsiaTheme="minorEastAsia"/>
          <w:color w:val="000000" w:themeColor="text1"/>
          <w14:textFill>
            <w14:solidFill>
              <w14:schemeClr w14:val="tx1"/>
            </w14:solidFill>
          </w14:textFill>
        </w:rPr>
        <w:t>LINUX操作系统；</w:t>
      </w:r>
    </w:p>
    <w:p>
      <w:pPr>
        <w:widowControl w:val="0"/>
        <w:numPr>
          <w:ilvl w:val="0"/>
          <w:numId w:val="9"/>
        </w:numPr>
        <w:adjustRightInd w:val="0"/>
        <w:spacing w:line="360" w:lineRule="auto"/>
        <w:ind w:left="0" w:firstLine="482"/>
        <w:jc w:val="both"/>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b/>
          <w:color w:val="000000" w:themeColor="text1"/>
          <w14:textFill>
            <w14:solidFill>
              <w14:schemeClr w14:val="tx1"/>
            </w14:solidFill>
          </w14:textFill>
        </w:rPr>
        <w:t>数据库：</w:t>
      </w:r>
      <w:r>
        <w:rPr>
          <w:rFonts w:hint="eastAsia" w:cs="Arial" w:asciiTheme="minorEastAsia" w:hAnsiTheme="minorEastAsia" w:eastAsiaTheme="minorEastAsia"/>
          <w:color w:val="000000" w:themeColor="text1"/>
          <w14:textFill>
            <w14:solidFill>
              <w14:schemeClr w14:val="tx1"/>
            </w14:solidFill>
          </w14:textFill>
        </w:rPr>
        <w:t>Oracle8.0以上版本的数据库管理系统；</w:t>
      </w:r>
    </w:p>
    <w:p>
      <w:pPr>
        <w:widowControl w:val="0"/>
        <w:numPr>
          <w:ilvl w:val="0"/>
          <w:numId w:val="9"/>
        </w:numPr>
        <w:adjustRightInd w:val="0"/>
        <w:spacing w:line="360" w:lineRule="auto"/>
        <w:ind w:left="0" w:firstLine="482"/>
        <w:jc w:val="both"/>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b/>
          <w:color w:val="000000" w:themeColor="text1"/>
          <w14:textFill>
            <w14:solidFill>
              <w14:schemeClr w14:val="tx1"/>
            </w14:solidFill>
          </w14:textFill>
        </w:rPr>
        <w:t xml:space="preserve">建议硬件配置： </w:t>
      </w:r>
      <w:r>
        <w:rPr>
          <w:rFonts w:hint="eastAsia" w:cs="Arial" w:asciiTheme="minorEastAsia" w:hAnsiTheme="minorEastAsia" w:eastAsiaTheme="minorEastAsia"/>
          <w:color w:val="000000" w:themeColor="text1"/>
          <w14:textFill>
            <w14:solidFill>
              <w14:schemeClr w14:val="tx1"/>
            </w14:solidFill>
          </w14:textFill>
        </w:rPr>
        <w:t>八核因特尔至强 CPU 以上，并支持虚拟化技术，内存64GB以上，硬盘可用空间2T以上。</w:t>
      </w:r>
    </w:p>
    <w:p>
      <w:pPr>
        <w:widowControl w:val="0"/>
        <w:numPr>
          <w:ilvl w:val="0"/>
          <w:numId w:val="8"/>
        </w:numPr>
        <w:adjustRightInd w:val="0"/>
        <w:spacing w:line="360" w:lineRule="auto"/>
        <w:ind w:left="0" w:firstLine="482"/>
        <w:jc w:val="both"/>
        <w:rPr>
          <w:rFonts w:cs="Times New Roman"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平台及系统运行服务</w:t>
      </w:r>
    </w:p>
    <w:p>
      <w:pPr>
        <w:widowControl w:val="0"/>
        <w:numPr>
          <w:ilvl w:val="0"/>
          <w:numId w:val="10"/>
        </w:numPr>
        <w:adjustRightInd w:val="0"/>
        <w:spacing w:line="360" w:lineRule="auto"/>
        <w:ind w:left="0" w:firstLine="482"/>
        <w:jc w:val="both"/>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b/>
          <w:color w:val="000000" w:themeColor="text1"/>
          <w14:textFill>
            <w14:solidFill>
              <w14:schemeClr w14:val="tx1"/>
            </w14:solidFill>
          </w14:textFill>
        </w:rPr>
        <w:t>操作系统：</w:t>
      </w:r>
      <w:r>
        <w:rPr>
          <w:rFonts w:hint="eastAsia" w:cs="Arial" w:asciiTheme="minorEastAsia" w:hAnsiTheme="minorEastAsia" w:eastAsiaTheme="minorEastAsia"/>
          <w:color w:val="000000" w:themeColor="text1"/>
          <w14:textFill>
            <w14:solidFill>
              <w14:schemeClr w14:val="tx1"/>
            </w14:solidFill>
          </w14:textFill>
        </w:rPr>
        <w:t>WIN 2012 Server X64/ WIN 2016 Server X64/中文操作系统或最新版的服务器操作系统都可以；</w:t>
      </w:r>
    </w:p>
    <w:p>
      <w:pPr>
        <w:widowControl w:val="0"/>
        <w:numPr>
          <w:ilvl w:val="0"/>
          <w:numId w:val="10"/>
        </w:numPr>
        <w:adjustRightInd w:val="0"/>
        <w:spacing w:line="360" w:lineRule="auto"/>
        <w:ind w:left="0" w:firstLine="482"/>
        <w:jc w:val="both"/>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b/>
          <w:color w:val="000000" w:themeColor="text1"/>
          <w14:textFill>
            <w14:solidFill>
              <w14:schemeClr w14:val="tx1"/>
            </w14:solidFill>
          </w14:textFill>
        </w:rPr>
        <w:t>数据库：</w:t>
      </w:r>
      <w:r>
        <w:rPr>
          <w:rFonts w:hint="eastAsia" w:cs="Arial" w:asciiTheme="minorEastAsia" w:hAnsiTheme="minorEastAsia" w:eastAsiaTheme="minorEastAsia"/>
          <w:color w:val="000000" w:themeColor="text1"/>
          <w14:textFill>
            <w14:solidFill>
              <w14:schemeClr w14:val="tx1"/>
            </w14:solidFill>
          </w14:textFill>
        </w:rPr>
        <w:t>SqlServer2016和MySql5.7以上版本的数据库管理系统；</w:t>
      </w:r>
    </w:p>
    <w:p>
      <w:pPr>
        <w:widowControl w:val="0"/>
        <w:numPr>
          <w:ilvl w:val="0"/>
          <w:numId w:val="10"/>
        </w:numPr>
        <w:adjustRightInd w:val="0"/>
        <w:spacing w:line="360" w:lineRule="auto"/>
        <w:ind w:left="0" w:firstLine="482"/>
        <w:jc w:val="both"/>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b/>
          <w:color w:val="000000" w:themeColor="text1"/>
          <w14:textFill>
            <w14:solidFill>
              <w14:schemeClr w14:val="tx1"/>
            </w14:solidFill>
          </w14:textFill>
        </w:rPr>
        <w:t xml:space="preserve">建议硬件配置： </w:t>
      </w:r>
      <w:r>
        <w:rPr>
          <w:rFonts w:hint="eastAsia" w:cs="Arial" w:asciiTheme="minorEastAsia" w:hAnsiTheme="minorEastAsia" w:eastAsiaTheme="minorEastAsia"/>
          <w:color w:val="000000" w:themeColor="text1"/>
          <w14:textFill>
            <w14:solidFill>
              <w14:schemeClr w14:val="tx1"/>
            </w14:solidFill>
          </w14:textFill>
        </w:rPr>
        <w:t>八核 因特尔至强 CPU 以上，并支持虚拟化技术，内存128GB以上，硬盘可用空间4T以上。</w:t>
      </w:r>
    </w:p>
    <w:p>
      <w:pPr>
        <w:spacing w:line="360" w:lineRule="auto"/>
        <w:ind w:firstLine="482"/>
        <w:rPr>
          <w:rFonts w:hint="eastAsia"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所有硬件配置按可满足三年规划。</w:t>
      </w:r>
    </w:p>
    <w:p>
      <w:pPr>
        <w:pStyle w:val="2"/>
        <w:spacing w:line="360" w:lineRule="auto"/>
        <w:ind w:firstLine="422" w:firstLineChars="200"/>
        <w:rPr>
          <w:rFonts w:hint="eastAsia" w:asciiTheme="minorEastAsia" w:hAnsiTheme="minorEastAsia" w:eastAsiaTheme="minorEastAsia" w:cstheme="minorBidi"/>
          <w:b/>
          <w:color w:val="000000" w:themeColor="text1"/>
          <w:kern w:val="2"/>
          <w:sz w:val="21"/>
          <w:szCs w:val="22"/>
          <w:lang w:val="en-US" w:eastAsia="zh-CN" w:bidi="ar-SA"/>
          <w14:textFill>
            <w14:solidFill>
              <w14:schemeClr w14:val="tx1"/>
            </w14:solidFill>
          </w14:textFill>
        </w:rPr>
      </w:pPr>
      <w:r>
        <w:rPr>
          <w:rFonts w:hint="eastAsia" w:asciiTheme="minorEastAsia" w:hAnsiTheme="minorEastAsia" w:eastAsiaTheme="minorEastAsia" w:cstheme="minorBidi"/>
          <w:b/>
          <w:color w:val="000000" w:themeColor="text1"/>
          <w:kern w:val="2"/>
          <w:sz w:val="21"/>
          <w:szCs w:val="22"/>
          <w:lang w:val="en-US" w:eastAsia="zh-CN" w:bidi="ar-SA"/>
          <w14:textFill>
            <w14:solidFill>
              <w14:schemeClr w14:val="tx1"/>
            </w14:solidFill>
          </w14:textFill>
        </w:rPr>
        <w:t>数据库和服务器采用云端部署，不在院内部署。</w:t>
      </w:r>
    </w:p>
    <w:p>
      <w:pPr>
        <w:pStyle w:val="2"/>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Theme="minorEastAsia" w:hAnsiTheme="minorEastAsia" w:eastAsiaTheme="minorEastAsia"/>
          <w:b/>
          <w:color w:val="000000" w:themeColor="text1"/>
          <w14:textFill>
            <w14:solidFill>
              <w14:schemeClr w14:val="tx1"/>
            </w14:solidFill>
          </w14:textFill>
        </w:rPr>
      </w:pPr>
    </w:p>
    <w:p>
      <w:pPr>
        <w:pStyle w:val="35"/>
        <w:autoSpaceDE w:val="0"/>
        <w:spacing w:before="0" w:beforeAutospacing="0" w:after="0" w:afterAutospacing="0"/>
        <w:ind w:left="0" w:firstLine="480"/>
        <w:jc w:val="both"/>
        <w:rPr>
          <w:rFonts w:asciiTheme="minorEastAsia" w:hAnsiTheme="minorEastAsia" w:eastAsiaTheme="minorEastAsia"/>
          <w:color w:val="auto"/>
        </w:rPr>
      </w:pPr>
    </w:p>
    <w:bookmarkEnd w:id="18"/>
    <w:bookmarkEnd w:id="19"/>
    <w:bookmarkEnd w:id="20"/>
    <w:bookmarkEnd w:id="21"/>
    <w:bookmarkEnd w:id="22"/>
    <w:bookmarkEnd w:id="23"/>
    <w:bookmarkEnd w:id="24"/>
    <w:p>
      <w:pPr>
        <w:pStyle w:val="7"/>
      </w:pPr>
    </w:p>
    <w:sectPr>
      <w:pgSz w:w="11906" w:h="16838"/>
      <w:pgMar w:top="1134"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BBDD6"/>
    <w:multiLevelType w:val="singleLevel"/>
    <w:tmpl w:val="F92BBDD6"/>
    <w:lvl w:ilvl="0" w:tentative="0">
      <w:start w:val="1"/>
      <w:numFmt w:val="decimal"/>
      <w:lvlText w:val="%1."/>
      <w:lvlJc w:val="left"/>
      <w:pPr>
        <w:ind w:left="425" w:hanging="425"/>
      </w:pPr>
      <w:rPr>
        <w:rFonts w:hint="default"/>
      </w:rPr>
    </w:lvl>
  </w:abstractNum>
  <w:abstractNum w:abstractNumId="1">
    <w:nsid w:val="17CB0417"/>
    <w:multiLevelType w:val="multilevel"/>
    <w:tmpl w:val="17CB0417"/>
    <w:lvl w:ilvl="0" w:tentative="0">
      <w:start w:val="1"/>
      <w:numFmt w:val="chineseCountingThousand"/>
      <w:lvlText w:val="(%1)"/>
      <w:lvlJc w:val="left"/>
      <w:pPr>
        <w:tabs>
          <w:tab w:val="left" w:pos="840"/>
        </w:tabs>
        <w:ind w:left="840" w:hanging="420"/>
      </w:pPr>
      <w:rPr>
        <w:rFonts w:hint="default" w:ascii="Times New Roman" w:hAnsi="Times New Roman" w:cs="Times New Roman"/>
        <w:b/>
      </w:rPr>
    </w:lvl>
    <w:lvl w:ilvl="1" w:tentative="0">
      <w:start w:val="1"/>
      <w:numFmt w:val="decimal"/>
      <w:lvlText w:val="%2)"/>
      <w:lvlJc w:val="left"/>
      <w:pPr>
        <w:tabs>
          <w:tab w:val="left" w:pos="1260"/>
        </w:tabs>
        <w:ind w:left="1260" w:hanging="420"/>
      </w:pPr>
      <w:rPr>
        <w:rFonts w:hint="eastAsia" w:ascii="宋体" w:hAnsi="宋体" w:eastAsia="宋体"/>
        <w:b/>
        <w:sz w:val="28"/>
        <w:szCs w:val="28"/>
      </w:rPr>
    </w:lvl>
    <w:lvl w:ilvl="2" w:tentative="0">
      <w:start w:val="1"/>
      <w:numFmt w:val="lowerRoman"/>
      <w:lvlText w:val="%3."/>
      <w:lvlJc w:val="right"/>
      <w:pPr>
        <w:tabs>
          <w:tab w:val="left" w:pos="1680"/>
        </w:tabs>
        <w:ind w:left="1680" w:hanging="420"/>
      </w:pPr>
      <w:rPr>
        <w:rFonts w:hint="default" w:ascii="Times New Roman" w:hAnsi="Times New Roman" w:cs="Times New Roman"/>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2">
    <w:nsid w:val="28AD1EB5"/>
    <w:multiLevelType w:val="multilevel"/>
    <w:tmpl w:val="28AD1EB5"/>
    <w:lvl w:ilvl="0" w:tentative="0">
      <w:start w:val="1"/>
      <w:numFmt w:val="chineseCountingThousand"/>
      <w:lvlText w:val="(%1)"/>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9009AB"/>
    <w:multiLevelType w:val="multilevel"/>
    <w:tmpl w:val="449009AB"/>
    <w:lvl w:ilvl="0" w:tentative="0">
      <w:start w:val="1"/>
      <w:numFmt w:val="chineseCountingThousand"/>
      <w:lvlText w:val="(%1)"/>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DE71DD3"/>
    <w:multiLevelType w:val="multilevel"/>
    <w:tmpl w:val="4DE71DD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50BA3C82"/>
    <w:multiLevelType w:val="multilevel"/>
    <w:tmpl w:val="50BA3C82"/>
    <w:lvl w:ilvl="0" w:tentative="0">
      <w:start w:val="1"/>
      <w:numFmt w:val="decimal"/>
      <w:lvlText w:val="%1)"/>
      <w:lvlJc w:val="left"/>
      <w:pPr>
        <w:ind w:left="1260" w:hanging="420"/>
      </w:pPr>
      <w:rPr>
        <w:rFonts w:hint="default" w:ascii="Times New Roman" w:hAnsi="Times New Roman" w:cs="Times New Roman"/>
        <w:b/>
      </w:rPr>
    </w:lvl>
    <w:lvl w:ilvl="1" w:tentative="0">
      <w:start w:val="1"/>
      <w:numFmt w:val="lowerLetter"/>
      <w:lvlText w:val="%2)"/>
      <w:lvlJc w:val="left"/>
      <w:pPr>
        <w:ind w:left="1680" w:hanging="420"/>
      </w:pPr>
      <w:rPr>
        <w:rFonts w:hint="default" w:ascii="Times New Roman" w:hAnsi="Times New Roman" w:cs="Times New Roman"/>
      </w:rPr>
    </w:lvl>
    <w:lvl w:ilvl="2" w:tentative="0">
      <w:start w:val="1"/>
      <w:numFmt w:val="lowerRoman"/>
      <w:lvlText w:val="%3."/>
      <w:lvlJc w:val="right"/>
      <w:pPr>
        <w:ind w:left="2100" w:hanging="420"/>
      </w:pPr>
      <w:rPr>
        <w:rFonts w:hint="default" w:ascii="Times New Roman" w:hAnsi="Times New Roman" w:cs="Times New Roman"/>
      </w:rPr>
    </w:lvl>
    <w:lvl w:ilvl="3" w:tentative="0">
      <w:start w:val="1"/>
      <w:numFmt w:val="decimal"/>
      <w:lvlText w:val="%4."/>
      <w:lvlJc w:val="left"/>
      <w:pPr>
        <w:ind w:left="2520" w:hanging="420"/>
      </w:pPr>
      <w:rPr>
        <w:rFonts w:hint="default" w:ascii="Times New Roman" w:hAnsi="Times New Roman" w:cs="Times New Roman"/>
      </w:rPr>
    </w:lvl>
    <w:lvl w:ilvl="4" w:tentative="0">
      <w:start w:val="1"/>
      <w:numFmt w:val="lowerLetter"/>
      <w:lvlText w:val="%5)"/>
      <w:lvlJc w:val="left"/>
      <w:pPr>
        <w:ind w:left="2940" w:hanging="420"/>
      </w:pPr>
      <w:rPr>
        <w:rFonts w:hint="default" w:ascii="Times New Roman" w:hAnsi="Times New Roman" w:cs="Times New Roman"/>
      </w:rPr>
    </w:lvl>
    <w:lvl w:ilvl="5" w:tentative="0">
      <w:start w:val="1"/>
      <w:numFmt w:val="lowerRoman"/>
      <w:lvlText w:val="%6."/>
      <w:lvlJc w:val="right"/>
      <w:pPr>
        <w:ind w:left="3360" w:hanging="420"/>
      </w:pPr>
      <w:rPr>
        <w:rFonts w:hint="default" w:ascii="Times New Roman" w:hAnsi="Times New Roman" w:cs="Times New Roman"/>
      </w:rPr>
    </w:lvl>
    <w:lvl w:ilvl="6" w:tentative="0">
      <w:start w:val="1"/>
      <w:numFmt w:val="decimal"/>
      <w:lvlText w:val="%7."/>
      <w:lvlJc w:val="left"/>
      <w:pPr>
        <w:ind w:left="3780" w:hanging="420"/>
      </w:pPr>
      <w:rPr>
        <w:rFonts w:hint="default" w:ascii="Times New Roman" w:hAnsi="Times New Roman" w:cs="Times New Roman"/>
      </w:rPr>
    </w:lvl>
    <w:lvl w:ilvl="7" w:tentative="0">
      <w:start w:val="1"/>
      <w:numFmt w:val="lowerLetter"/>
      <w:lvlText w:val="%8)"/>
      <w:lvlJc w:val="left"/>
      <w:pPr>
        <w:ind w:left="4200" w:hanging="420"/>
      </w:pPr>
      <w:rPr>
        <w:rFonts w:hint="default" w:ascii="Times New Roman" w:hAnsi="Times New Roman" w:cs="Times New Roman"/>
      </w:rPr>
    </w:lvl>
    <w:lvl w:ilvl="8" w:tentative="0">
      <w:start w:val="1"/>
      <w:numFmt w:val="lowerRoman"/>
      <w:lvlText w:val="%9."/>
      <w:lvlJc w:val="right"/>
      <w:pPr>
        <w:ind w:left="4620" w:hanging="420"/>
      </w:pPr>
      <w:rPr>
        <w:rFonts w:hint="default" w:ascii="Times New Roman" w:hAnsi="Times New Roman" w:cs="Times New Roman"/>
      </w:rPr>
    </w:lvl>
  </w:abstractNum>
  <w:abstractNum w:abstractNumId="6">
    <w:nsid w:val="5AD96DE2"/>
    <w:multiLevelType w:val="multilevel"/>
    <w:tmpl w:val="5AD96DE2"/>
    <w:lvl w:ilvl="0" w:tentative="0">
      <w:start w:val="1"/>
      <w:numFmt w:val="decimal"/>
      <w:suff w:val="space"/>
      <w:lvlText w:val="第%1章"/>
      <w:lvlJc w:val="left"/>
      <w:pPr>
        <w:ind w:left="432" w:hanging="432"/>
      </w:pPr>
      <w:rPr>
        <w:rFonts w:hint="eastAsia" w:cs="Times New Roman" w:asciiTheme="minorEastAsia" w:hAnsiTheme="minorEastAsia" w:eastAsiaTheme="minorEastAsia"/>
        <w:b/>
        <w:sz w:val="30"/>
        <w:szCs w:val="30"/>
      </w:rPr>
    </w:lvl>
    <w:lvl w:ilvl="1" w:tentative="0">
      <w:start w:val="1"/>
      <w:numFmt w:val="decimal"/>
      <w:isLgl/>
      <w:lvlText w:val="%1.%2"/>
      <w:lvlJc w:val="left"/>
      <w:pPr>
        <w:ind w:left="576" w:hanging="576"/>
      </w:pPr>
      <w:rPr>
        <w:rFonts w:hint="default" w:cs="Times New Roman" w:asciiTheme="majorEastAsia" w:hAnsiTheme="majorEastAsia" w:eastAsiaTheme="majorEastAsia"/>
        <w:sz w:val="28"/>
        <w:szCs w:val="28"/>
      </w:rPr>
    </w:lvl>
    <w:lvl w:ilvl="2" w:tentative="0">
      <w:start w:val="1"/>
      <w:numFmt w:val="decimal"/>
      <w:isLgl/>
      <w:lvlText w:val="%1.%2.%3"/>
      <w:lvlJc w:val="left"/>
      <w:pPr>
        <w:ind w:left="1288" w:hanging="720"/>
      </w:pPr>
      <w:rPr>
        <w:rFonts w:hint="default" w:cs="Times New Roman" w:asciiTheme="majorEastAsia" w:hAnsiTheme="majorEastAsia" w:eastAsiaTheme="majorEastAsia"/>
        <w:sz w:val="24"/>
        <w:szCs w:val="24"/>
      </w:rPr>
    </w:lvl>
    <w:lvl w:ilvl="3" w:tentative="0">
      <w:start w:val="1"/>
      <w:numFmt w:val="decimal"/>
      <w:isLgl/>
      <w:lvlText w:val="%1.%2.%3.%4"/>
      <w:lvlJc w:val="left"/>
      <w:pPr>
        <w:ind w:left="864" w:hanging="864"/>
      </w:pPr>
      <w:rPr>
        <w:rFonts w:hint="default" w:cs="Times New Roman" w:asciiTheme="minorEastAsia" w:hAnsiTheme="minorEastAsia" w:eastAsiaTheme="minorEastAsia"/>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lvlText w:val="%1.%2.%3.%4.%5"/>
      <w:lvlJc w:val="left"/>
      <w:pPr>
        <w:ind w:left="1008" w:hanging="1008"/>
      </w:pPr>
      <w:rPr>
        <w:rFonts w:hint="default" w:cs="Times New Roman" w:asciiTheme="minorEastAsia" w:hAnsiTheme="minorEastAsia" w:eastAsiaTheme="minorEastAsia"/>
        <w:sz w:val="24"/>
        <w:szCs w:val="24"/>
      </w:rPr>
    </w:lvl>
    <w:lvl w:ilvl="5" w:tentative="0">
      <w:start w:val="1"/>
      <w:numFmt w:val="decimal"/>
      <w:isLgl/>
      <w:lvlText w:val="%1.%2.%3.%4.%5.%6"/>
      <w:lvlJc w:val="left"/>
      <w:pPr>
        <w:ind w:left="1152" w:hanging="1152"/>
      </w:pPr>
      <w:rPr>
        <w:rFonts w:hint="default" w:ascii="Times New Roman" w:hAnsi="Times New Roman" w:cs="Times New Roman"/>
      </w:rPr>
    </w:lvl>
    <w:lvl w:ilvl="6" w:tentative="0">
      <w:start w:val="1"/>
      <w:numFmt w:val="decimal"/>
      <w:isLgl/>
      <w:lvlText w:val="%1.%2.%3.%4.%5.%6.%7"/>
      <w:lvlJc w:val="left"/>
      <w:pPr>
        <w:ind w:left="1296" w:hanging="1296"/>
      </w:pPr>
      <w:rPr>
        <w:rFonts w:hint="default" w:ascii="Times New Roman" w:hAnsi="Times New Roman" w:cs="Times New Roman"/>
        <w:sz w:val="28"/>
        <w:szCs w:val="28"/>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ind w:left="1584" w:hanging="1584"/>
      </w:pPr>
      <w:rPr>
        <w:rFonts w:hint="eastAsia" w:cs="Times New Roman"/>
      </w:rPr>
    </w:lvl>
  </w:abstractNum>
  <w:abstractNum w:abstractNumId="7">
    <w:nsid w:val="6781084C"/>
    <w:multiLevelType w:val="multilevel"/>
    <w:tmpl w:val="6781084C"/>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7E34AF2"/>
    <w:multiLevelType w:val="multilevel"/>
    <w:tmpl w:val="67E34AF2"/>
    <w:lvl w:ilvl="0" w:tentative="0">
      <w:start w:val="1"/>
      <w:numFmt w:val="decimal"/>
      <w:lvlText w:val="%1)"/>
      <w:lvlJc w:val="left"/>
      <w:pPr>
        <w:ind w:left="1260" w:hanging="420"/>
      </w:pPr>
      <w:rPr>
        <w:rFonts w:hint="default" w:ascii="Times New Roman" w:hAnsi="Times New Roman" w:cs="Times New Roman"/>
        <w:b/>
      </w:rPr>
    </w:lvl>
    <w:lvl w:ilvl="1" w:tentative="0">
      <w:start w:val="1"/>
      <w:numFmt w:val="lowerLetter"/>
      <w:lvlText w:val="%2)"/>
      <w:lvlJc w:val="left"/>
      <w:pPr>
        <w:ind w:left="1680" w:hanging="420"/>
      </w:pPr>
      <w:rPr>
        <w:rFonts w:hint="default" w:ascii="Times New Roman" w:hAnsi="Times New Roman" w:cs="Times New Roman"/>
      </w:rPr>
    </w:lvl>
    <w:lvl w:ilvl="2" w:tentative="0">
      <w:start w:val="1"/>
      <w:numFmt w:val="lowerRoman"/>
      <w:lvlText w:val="%3."/>
      <w:lvlJc w:val="right"/>
      <w:pPr>
        <w:ind w:left="2100" w:hanging="420"/>
      </w:pPr>
      <w:rPr>
        <w:rFonts w:hint="default" w:ascii="Times New Roman" w:hAnsi="Times New Roman" w:cs="Times New Roman"/>
      </w:rPr>
    </w:lvl>
    <w:lvl w:ilvl="3" w:tentative="0">
      <w:start w:val="1"/>
      <w:numFmt w:val="decimal"/>
      <w:lvlText w:val="%4."/>
      <w:lvlJc w:val="left"/>
      <w:pPr>
        <w:ind w:left="2520" w:hanging="420"/>
      </w:pPr>
      <w:rPr>
        <w:rFonts w:hint="default" w:ascii="Times New Roman" w:hAnsi="Times New Roman" w:cs="Times New Roman"/>
      </w:rPr>
    </w:lvl>
    <w:lvl w:ilvl="4" w:tentative="0">
      <w:start w:val="1"/>
      <w:numFmt w:val="lowerLetter"/>
      <w:lvlText w:val="%5)"/>
      <w:lvlJc w:val="left"/>
      <w:pPr>
        <w:ind w:left="2940" w:hanging="420"/>
      </w:pPr>
      <w:rPr>
        <w:rFonts w:hint="default" w:ascii="Times New Roman" w:hAnsi="Times New Roman" w:cs="Times New Roman"/>
      </w:rPr>
    </w:lvl>
    <w:lvl w:ilvl="5" w:tentative="0">
      <w:start w:val="1"/>
      <w:numFmt w:val="lowerRoman"/>
      <w:lvlText w:val="%6."/>
      <w:lvlJc w:val="right"/>
      <w:pPr>
        <w:ind w:left="3360" w:hanging="420"/>
      </w:pPr>
      <w:rPr>
        <w:rFonts w:hint="default" w:ascii="Times New Roman" w:hAnsi="Times New Roman" w:cs="Times New Roman"/>
      </w:rPr>
    </w:lvl>
    <w:lvl w:ilvl="6" w:tentative="0">
      <w:start w:val="1"/>
      <w:numFmt w:val="decimal"/>
      <w:lvlText w:val="%7."/>
      <w:lvlJc w:val="left"/>
      <w:pPr>
        <w:ind w:left="3780" w:hanging="420"/>
      </w:pPr>
      <w:rPr>
        <w:rFonts w:hint="default" w:ascii="Times New Roman" w:hAnsi="Times New Roman" w:cs="Times New Roman"/>
      </w:rPr>
    </w:lvl>
    <w:lvl w:ilvl="7" w:tentative="0">
      <w:start w:val="1"/>
      <w:numFmt w:val="lowerLetter"/>
      <w:lvlText w:val="%8)"/>
      <w:lvlJc w:val="left"/>
      <w:pPr>
        <w:ind w:left="4200" w:hanging="420"/>
      </w:pPr>
      <w:rPr>
        <w:rFonts w:hint="default" w:ascii="Times New Roman" w:hAnsi="Times New Roman" w:cs="Times New Roman"/>
      </w:rPr>
    </w:lvl>
    <w:lvl w:ilvl="8" w:tentative="0">
      <w:start w:val="1"/>
      <w:numFmt w:val="lowerRoman"/>
      <w:lvlText w:val="%9."/>
      <w:lvlJc w:val="right"/>
      <w:pPr>
        <w:ind w:left="4620" w:hanging="420"/>
      </w:pPr>
      <w:rPr>
        <w:rFonts w:hint="default" w:ascii="Times New Roman" w:hAnsi="Times New Roman" w:cs="Times New Roman"/>
      </w:rPr>
    </w:lvl>
  </w:abstractNum>
  <w:abstractNum w:abstractNumId="9">
    <w:nsid w:val="76A32B2E"/>
    <w:multiLevelType w:val="multilevel"/>
    <w:tmpl w:val="76A32B2E"/>
    <w:lvl w:ilvl="0" w:tentative="0">
      <w:start w:val="1"/>
      <w:numFmt w:val="chineseCountingThousand"/>
      <w:lvlText w:val="(%1)"/>
      <w:lvlJc w:val="left"/>
      <w:pPr>
        <w:ind w:left="840" w:hanging="420"/>
      </w:pPr>
      <w:rPr>
        <w:rFonts w:hint="default" w:ascii="Times New Roman" w:hAnsi="Times New Roman" w:cs="Times New Roman"/>
        <w:b/>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decimal"/>
      <w:lvlText w:val="%3、"/>
      <w:lvlJc w:val="left"/>
      <w:pPr>
        <w:ind w:left="1620" w:hanging="36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num w:numId="1">
    <w:abstractNumId w:val="6"/>
    <w:lvlOverride w:ilvl="0">
      <w:lvl w:ilvl="0" w:tentative="1">
        <w:start w:val="1"/>
        <w:numFmt w:val="decimal"/>
        <w:suff w:val="space"/>
        <w:lvlText w:val="第%1章"/>
        <w:lvlJc w:val="left"/>
        <w:pPr>
          <w:ind w:left="432" w:hanging="432"/>
        </w:pPr>
        <w:rPr>
          <w:rFonts w:hint="eastAsia" w:eastAsia="宋体" w:cs="Times New Roman" w:asciiTheme="minorEastAsia" w:hAnsiTheme="minorEastAsia"/>
          <w:b/>
          <w:sz w:val="30"/>
          <w:szCs w:val="30"/>
        </w:rPr>
      </w:lvl>
    </w:lvlOverride>
    <w:lvlOverride w:ilvl="1">
      <w:lvl w:ilvl="1" w:tentative="1">
        <w:start w:val="1"/>
        <w:numFmt w:val="decimal"/>
        <w:isLgl/>
        <w:lvlText w:val="%1.%2"/>
        <w:lvlJc w:val="left"/>
        <w:pPr>
          <w:ind w:left="576" w:hanging="576"/>
        </w:pPr>
        <w:rPr>
          <w:rFonts w:hint="default" w:eastAsia="宋体" w:cs="Times New Roman" w:asciiTheme="majorEastAsia" w:hAnsiTheme="majorEastAsia"/>
          <w:sz w:val="28"/>
          <w:szCs w:val="28"/>
        </w:rPr>
      </w:lvl>
    </w:lvlOverride>
    <w:lvlOverride w:ilvl="2">
      <w:lvl w:ilvl="2" w:tentative="1">
        <w:start w:val="1"/>
        <w:numFmt w:val="decimal"/>
        <w:pStyle w:val="4"/>
        <w:isLgl/>
        <w:lvlText w:val="%1.%2.%3"/>
        <w:lvlJc w:val="left"/>
        <w:pPr>
          <w:ind w:left="1288" w:hanging="720"/>
        </w:pPr>
        <w:rPr>
          <w:rFonts w:hint="default" w:eastAsia="宋体" w:cs="Times New Roman" w:asciiTheme="majorEastAsia" w:hAnsiTheme="majorEastAsia"/>
          <w:sz w:val="24"/>
          <w:szCs w:val="24"/>
        </w:rPr>
      </w:lvl>
    </w:lvlOverride>
    <w:lvlOverride w:ilvl="3">
      <w:lvl w:ilvl="3" w:tentative="1">
        <w:start w:val="1"/>
        <w:numFmt w:val="decimal"/>
        <w:isLgl/>
        <w:lvlText w:val="%1.%2.%3.%4"/>
        <w:lvlJc w:val="left"/>
        <w:pPr>
          <w:ind w:left="864" w:hanging="864"/>
        </w:pPr>
        <w:rPr>
          <w:rFonts w:hint="default" w:eastAsia="宋体" w:cs="Times New Roman" w:asciiTheme="minorEastAsia" w:hAnsiTheme="minorEastAsia"/>
          <w:b/>
          <w:bCs w:val="0"/>
          <w:i w:val="0"/>
          <w:iCs w:val="0"/>
          <w:caps w:val="0"/>
          <w:smallCaps w:val="0"/>
          <w:strike w:val="0"/>
          <w:dstrike w:val="0"/>
          <w:vanish w:val="0"/>
          <w:color w:val="000000"/>
          <w:spacing w:val="0"/>
          <w:position w:val="0"/>
          <w:sz w:val="24"/>
          <w:szCs w:val="24"/>
          <w:u w:val="none"/>
          <w:vertAlign w:val="baseline"/>
        </w:rPr>
      </w:lvl>
    </w:lvlOverride>
    <w:lvlOverride w:ilvl="4">
      <w:lvl w:ilvl="4" w:tentative="1">
        <w:start w:val="1"/>
        <w:numFmt w:val="decimal"/>
        <w:isLgl/>
        <w:lvlText w:val="%1.%2.%3.%4.%5"/>
        <w:lvlJc w:val="left"/>
        <w:pPr>
          <w:ind w:left="0" w:firstLine="0"/>
        </w:pPr>
        <w:rPr>
          <w:rFonts w:hint="default" w:eastAsia="宋体" w:cs="Times New Roman" w:asciiTheme="minorEastAsia" w:hAnsiTheme="minorEastAsia"/>
          <w:sz w:val="24"/>
          <w:szCs w:val="24"/>
        </w:rPr>
      </w:lvl>
    </w:lvlOverride>
    <w:lvlOverride w:ilvl="5">
      <w:lvl w:ilvl="5" w:tentative="1">
        <w:start w:val="1"/>
        <w:numFmt w:val="decimal"/>
        <w:isLgl/>
        <w:lvlText w:val="%1.%2.%3.%4.%5.%6"/>
        <w:lvlJc w:val="left"/>
        <w:pPr>
          <w:ind w:left="0" w:firstLine="0"/>
        </w:pPr>
        <w:rPr>
          <w:rFonts w:hint="default" w:ascii="宋体" w:hAnsi="宋体" w:eastAsia="宋体" w:cs="Times New Roman"/>
        </w:rPr>
      </w:lvl>
    </w:lvlOverride>
    <w:lvlOverride w:ilvl="6">
      <w:lvl w:ilvl="6" w:tentative="1">
        <w:start w:val="1"/>
        <w:numFmt w:val="decimal"/>
        <w:isLgl/>
        <w:lvlText w:val="%1.%2.%3.%4.%5.%6.%7"/>
        <w:lvlJc w:val="left"/>
        <w:pPr>
          <w:ind w:left="0" w:firstLine="0"/>
        </w:pPr>
        <w:rPr>
          <w:rFonts w:hint="default" w:ascii="宋体" w:hAnsi="宋体" w:eastAsia="宋体" w:cs="Times New Roman"/>
          <w:sz w:val="24"/>
          <w:szCs w:val="24"/>
        </w:rPr>
      </w:lvl>
    </w:lvlOverride>
    <w:lvlOverride w:ilvl="7">
      <w:lvl w:ilvl="7" w:tentative="1">
        <w:start w:val="1"/>
        <w:numFmt w:val="decimal"/>
        <w:lvlText w:val="%1.%2.%3.%4.%5.%6.%7.%8"/>
        <w:lvlJc w:val="left"/>
        <w:pPr>
          <w:tabs>
            <w:tab w:val="left" w:pos="1440"/>
          </w:tabs>
          <w:ind w:left="0" w:firstLine="0"/>
        </w:pPr>
        <w:rPr>
          <w:rFonts w:hint="eastAsia" w:cs="Times New Roman"/>
        </w:rPr>
      </w:lvl>
    </w:lvlOverride>
    <w:lvlOverride w:ilvl="8">
      <w:lvl w:ilvl="8" w:tentative="1">
        <w:start w:val="1"/>
        <w:numFmt w:val="decimal"/>
        <w:lvlText w:val="%1.%2.%3.%4.%5.%6.%7.%8.%9"/>
        <w:lvlJc w:val="left"/>
        <w:pPr>
          <w:ind w:left="1584" w:hanging="1584"/>
        </w:pPr>
        <w:rPr>
          <w:rFonts w:hint="eastAsia" w:cs="Times New Roman"/>
        </w:rPr>
      </w:lvl>
    </w:lvlOverride>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s>
  <w:rsids>
    <w:rsidRoot w:val="00183C1F"/>
    <w:rsid w:val="000354CD"/>
    <w:rsid w:val="0004215D"/>
    <w:rsid w:val="00044DC6"/>
    <w:rsid w:val="0007726D"/>
    <w:rsid w:val="00092565"/>
    <w:rsid w:val="000B158B"/>
    <w:rsid w:val="000C64E3"/>
    <w:rsid w:val="000F206E"/>
    <w:rsid w:val="000F714A"/>
    <w:rsid w:val="0010287F"/>
    <w:rsid w:val="001515EB"/>
    <w:rsid w:val="0017057E"/>
    <w:rsid w:val="00183C1F"/>
    <w:rsid w:val="001B7CEF"/>
    <w:rsid w:val="001F5681"/>
    <w:rsid w:val="001F702F"/>
    <w:rsid w:val="00231697"/>
    <w:rsid w:val="00265AB4"/>
    <w:rsid w:val="0027351C"/>
    <w:rsid w:val="002F6624"/>
    <w:rsid w:val="003013CE"/>
    <w:rsid w:val="003264FA"/>
    <w:rsid w:val="003374C0"/>
    <w:rsid w:val="00346179"/>
    <w:rsid w:val="00347BEA"/>
    <w:rsid w:val="00367321"/>
    <w:rsid w:val="0037369C"/>
    <w:rsid w:val="003E1BAF"/>
    <w:rsid w:val="004676FC"/>
    <w:rsid w:val="004B39B4"/>
    <w:rsid w:val="004D0161"/>
    <w:rsid w:val="004D7164"/>
    <w:rsid w:val="004F2CBF"/>
    <w:rsid w:val="004F4836"/>
    <w:rsid w:val="004F4EE5"/>
    <w:rsid w:val="00532A0F"/>
    <w:rsid w:val="00541D2A"/>
    <w:rsid w:val="00551012"/>
    <w:rsid w:val="00573CBC"/>
    <w:rsid w:val="00583B36"/>
    <w:rsid w:val="005D20F7"/>
    <w:rsid w:val="005E371C"/>
    <w:rsid w:val="0060163F"/>
    <w:rsid w:val="006036D6"/>
    <w:rsid w:val="0062467E"/>
    <w:rsid w:val="006307A4"/>
    <w:rsid w:val="00662213"/>
    <w:rsid w:val="00671D37"/>
    <w:rsid w:val="006738D3"/>
    <w:rsid w:val="0068142D"/>
    <w:rsid w:val="006A1AFA"/>
    <w:rsid w:val="006B56D6"/>
    <w:rsid w:val="006E5FDF"/>
    <w:rsid w:val="00743E4C"/>
    <w:rsid w:val="007474BD"/>
    <w:rsid w:val="00760109"/>
    <w:rsid w:val="00761DD8"/>
    <w:rsid w:val="00771711"/>
    <w:rsid w:val="007877EB"/>
    <w:rsid w:val="007A1E52"/>
    <w:rsid w:val="007A4F85"/>
    <w:rsid w:val="007B00D7"/>
    <w:rsid w:val="007B150B"/>
    <w:rsid w:val="007C5642"/>
    <w:rsid w:val="007E09D2"/>
    <w:rsid w:val="007F79B8"/>
    <w:rsid w:val="00803219"/>
    <w:rsid w:val="00823E73"/>
    <w:rsid w:val="00847DC6"/>
    <w:rsid w:val="00857299"/>
    <w:rsid w:val="00895C02"/>
    <w:rsid w:val="008C072C"/>
    <w:rsid w:val="009101F8"/>
    <w:rsid w:val="00913B64"/>
    <w:rsid w:val="00916323"/>
    <w:rsid w:val="00917388"/>
    <w:rsid w:val="0095176D"/>
    <w:rsid w:val="009A302F"/>
    <w:rsid w:val="009C4916"/>
    <w:rsid w:val="009E4C64"/>
    <w:rsid w:val="00A22411"/>
    <w:rsid w:val="00A50E76"/>
    <w:rsid w:val="00A8405F"/>
    <w:rsid w:val="00A90E32"/>
    <w:rsid w:val="00AA3A32"/>
    <w:rsid w:val="00B06595"/>
    <w:rsid w:val="00B2615D"/>
    <w:rsid w:val="00B346FF"/>
    <w:rsid w:val="00B820AE"/>
    <w:rsid w:val="00BA0E5D"/>
    <w:rsid w:val="00BD0464"/>
    <w:rsid w:val="00BD7EAB"/>
    <w:rsid w:val="00BE1DF5"/>
    <w:rsid w:val="00BF16C1"/>
    <w:rsid w:val="00C03D9B"/>
    <w:rsid w:val="00C233D4"/>
    <w:rsid w:val="00C3295B"/>
    <w:rsid w:val="00C32AF0"/>
    <w:rsid w:val="00C3483E"/>
    <w:rsid w:val="00C778EF"/>
    <w:rsid w:val="00C8547F"/>
    <w:rsid w:val="00C92B2F"/>
    <w:rsid w:val="00CA68DE"/>
    <w:rsid w:val="00CB3851"/>
    <w:rsid w:val="00CC3EF6"/>
    <w:rsid w:val="00D11872"/>
    <w:rsid w:val="00D34AF7"/>
    <w:rsid w:val="00D67315"/>
    <w:rsid w:val="00D678A5"/>
    <w:rsid w:val="00DC356B"/>
    <w:rsid w:val="00DE2B38"/>
    <w:rsid w:val="00E2433E"/>
    <w:rsid w:val="00E43D93"/>
    <w:rsid w:val="00E53786"/>
    <w:rsid w:val="00E55364"/>
    <w:rsid w:val="00E77D89"/>
    <w:rsid w:val="00E80661"/>
    <w:rsid w:val="00E8070D"/>
    <w:rsid w:val="00ED0F9E"/>
    <w:rsid w:val="00ED1E09"/>
    <w:rsid w:val="00ED4B30"/>
    <w:rsid w:val="00F175C0"/>
    <w:rsid w:val="00F26854"/>
    <w:rsid w:val="00F26F58"/>
    <w:rsid w:val="00F31FE3"/>
    <w:rsid w:val="00F331A3"/>
    <w:rsid w:val="00F35054"/>
    <w:rsid w:val="00FB642D"/>
    <w:rsid w:val="00FD577C"/>
    <w:rsid w:val="00FE7DF3"/>
    <w:rsid w:val="00FF3943"/>
    <w:rsid w:val="022708A2"/>
    <w:rsid w:val="105765E1"/>
    <w:rsid w:val="110D68E1"/>
    <w:rsid w:val="194F58BE"/>
    <w:rsid w:val="1B300109"/>
    <w:rsid w:val="2BB807BB"/>
    <w:rsid w:val="2F77273B"/>
    <w:rsid w:val="380A30BE"/>
    <w:rsid w:val="462F230B"/>
    <w:rsid w:val="46994551"/>
    <w:rsid w:val="5BA1783F"/>
    <w:rsid w:val="64C50CB4"/>
    <w:rsid w:val="65EE5B34"/>
    <w:rsid w:val="6DD4077E"/>
    <w:rsid w:val="710C1EC5"/>
    <w:rsid w:val="71B0007E"/>
    <w:rsid w:val="74A565C1"/>
    <w:rsid w:val="77F734C0"/>
    <w:rsid w:val="7B761A97"/>
    <w:rsid w:val="7CC971B4"/>
    <w:rsid w:val="7FA3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numPr>
        <w:ilvl w:val="2"/>
        <w:numId w:val="1"/>
      </w:numPr>
      <w:spacing w:before="260" w:after="260" w:line="415" w:lineRule="auto"/>
      <w:ind w:right="100" w:rightChars="100" w:firstLine="0"/>
      <w:outlineLvl w:val="2"/>
    </w:pPr>
    <w:rPr>
      <w:rFonts w:ascii="仿宋_GB2312" w:eastAsia="仿宋_GB2312"/>
      <w:b/>
      <w:bCs/>
      <w:sz w:val="28"/>
      <w:szCs w:val="32"/>
    </w:rPr>
  </w:style>
  <w:style w:type="paragraph" w:styleId="5">
    <w:name w:val="heading 4"/>
    <w:basedOn w:val="1"/>
    <w:next w:val="1"/>
    <w:unhideWhenUsed/>
    <w:qFormat/>
    <w:uiPriority w:val="0"/>
    <w:pPr>
      <w:keepNext/>
      <w:keepLines/>
      <w:spacing w:before="280" w:after="290" w:line="376" w:lineRule="auto"/>
      <w:ind w:firstLine="200" w:firstLineChars="200"/>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5"/>
    <w:qFormat/>
    <w:uiPriority w:val="0"/>
    <w:rPr>
      <w:rFonts w:ascii="宋体" w:hAnsi="Courier New" w:eastAsia="宋体" w:cs="Times New Roman"/>
      <w:szCs w:val="20"/>
    </w:rPr>
  </w:style>
  <w:style w:type="paragraph" w:styleId="6">
    <w:name w:val="Normal 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w:basedOn w:val="1"/>
    <w:next w:val="8"/>
    <w:link w:val="26"/>
    <w:unhideWhenUsed/>
    <w:qFormat/>
    <w:uiPriority w:val="99"/>
    <w:pPr>
      <w:snapToGrid w:val="0"/>
      <w:spacing w:line="440" w:lineRule="exact"/>
    </w:pPr>
    <w:rPr>
      <w:rFonts w:ascii="Times New Roman" w:hAnsi="Times New Roman" w:eastAsia="宋体" w:cs="Times New Roman"/>
      <w:kern w:val="0"/>
      <w:sz w:val="20"/>
      <w:szCs w:val="20"/>
    </w:rPr>
  </w:style>
  <w:style w:type="paragraph" w:customStyle="1" w:styleId="8">
    <w:name w:val="引用1"/>
    <w:basedOn w:val="1"/>
    <w:next w:val="1"/>
    <w:qFormat/>
    <w:uiPriority w:val="99"/>
    <w:rPr>
      <w:rFonts w:ascii="Calibri" w:hAnsi="Calibri"/>
      <w:i/>
      <w:iCs/>
      <w:color w:val="000000"/>
      <w:kern w:val="0"/>
      <w:sz w:val="22"/>
      <w:szCs w:val="20"/>
    </w:rPr>
  </w:style>
  <w:style w:type="paragraph" w:styleId="9">
    <w:name w:val="Body Text Indent"/>
    <w:basedOn w:val="1"/>
    <w:link w:val="22"/>
    <w:qFormat/>
    <w:uiPriority w:val="0"/>
    <w:pPr>
      <w:tabs>
        <w:tab w:val="left" w:pos="1260"/>
      </w:tabs>
      <w:spacing w:line="240" w:lineRule="atLeast"/>
      <w:ind w:left="1" w:firstLine="720" w:firstLineChars="257"/>
    </w:pPr>
    <w:rPr>
      <w:rFonts w:ascii="宋体" w:hAnsi="宋体" w:eastAsia="宋体" w:cs="Times New Roman"/>
      <w:sz w:val="28"/>
      <w:szCs w:val="24"/>
    </w:rPr>
  </w:style>
  <w:style w:type="paragraph" w:styleId="10">
    <w:name w:val="footer"/>
    <w:basedOn w:val="1"/>
    <w:link w:val="20"/>
    <w:semiHidden/>
    <w:unhideWhenUsed/>
    <w:qFormat/>
    <w:uiPriority w:val="99"/>
    <w:pPr>
      <w:tabs>
        <w:tab w:val="center" w:pos="4153"/>
        <w:tab w:val="right" w:pos="8306"/>
      </w:tabs>
      <w:snapToGrid w:val="0"/>
      <w:jc w:val="left"/>
    </w:pPr>
    <w:rPr>
      <w:sz w:val="18"/>
      <w:szCs w:val="18"/>
    </w:rPr>
  </w:style>
  <w:style w:type="paragraph" w:styleId="11">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13">
    <w:name w:val="Body Text First Indent 2"/>
    <w:basedOn w:val="9"/>
    <w:unhideWhenUsed/>
    <w:qFormat/>
    <w:uiPriority w:val="99"/>
    <w:pPr>
      <w:ind w:firstLine="420"/>
    </w:pPr>
  </w:style>
  <w:style w:type="table" w:styleId="15">
    <w:name w:val="Table Grid"/>
    <w:basedOn w:val="14"/>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unhideWhenUsed/>
    <w:qFormat/>
    <w:uiPriority w:val="99"/>
    <w:rPr>
      <w:color w:val="0000FF"/>
      <w:u w:val="single"/>
    </w:rPr>
  </w:style>
  <w:style w:type="character" w:customStyle="1" w:styleId="19">
    <w:name w:val="页眉 Char"/>
    <w:basedOn w:val="16"/>
    <w:link w:val="11"/>
    <w:semiHidden/>
    <w:qFormat/>
    <w:uiPriority w:val="99"/>
    <w:rPr>
      <w:sz w:val="18"/>
      <w:szCs w:val="18"/>
    </w:rPr>
  </w:style>
  <w:style w:type="character" w:customStyle="1" w:styleId="20">
    <w:name w:val="页脚 Char"/>
    <w:basedOn w:val="16"/>
    <w:link w:val="10"/>
    <w:semiHidden/>
    <w:qFormat/>
    <w:uiPriority w:val="99"/>
    <w:rPr>
      <w:sz w:val="18"/>
      <w:szCs w:val="18"/>
    </w:rPr>
  </w:style>
  <w:style w:type="character" w:customStyle="1" w:styleId="21">
    <w:name w:val="正文文本缩进 Char"/>
    <w:basedOn w:val="16"/>
    <w:link w:val="9"/>
    <w:qFormat/>
    <w:uiPriority w:val="0"/>
    <w:rPr>
      <w:rFonts w:ascii="宋体" w:hAnsi="宋体" w:eastAsia="宋体" w:cs="Times New Roman"/>
      <w:sz w:val="28"/>
      <w:szCs w:val="24"/>
    </w:rPr>
  </w:style>
  <w:style w:type="character" w:customStyle="1" w:styleId="22">
    <w:name w:val="正文文本缩进 Char1"/>
    <w:basedOn w:val="16"/>
    <w:link w:val="9"/>
    <w:semiHidden/>
    <w:qFormat/>
    <w:uiPriority w:val="99"/>
  </w:style>
  <w:style w:type="character" w:customStyle="1" w:styleId="23">
    <w:name w:val="font11"/>
    <w:basedOn w:val="16"/>
    <w:qFormat/>
    <w:uiPriority w:val="0"/>
    <w:rPr>
      <w:rFonts w:hint="eastAsia" w:ascii="宋体" w:hAnsi="宋体" w:eastAsia="宋体" w:cs="宋体"/>
      <w:color w:val="000000"/>
      <w:sz w:val="24"/>
      <w:szCs w:val="24"/>
      <w:u w:val="none"/>
    </w:rPr>
  </w:style>
  <w:style w:type="character" w:customStyle="1" w:styleId="24">
    <w:name w:val="font21"/>
    <w:basedOn w:val="16"/>
    <w:qFormat/>
    <w:uiPriority w:val="0"/>
    <w:rPr>
      <w:rFonts w:hint="eastAsia" w:ascii="宋体" w:hAnsi="宋体" w:eastAsia="宋体" w:cs="宋体"/>
      <w:b/>
      <w:bCs/>
      <w:color w:val="000000"/>
      <w:sz w:val="24"/>
      <w:szCs w:val="24"/>
      <w:u w:val="none"/>
    </w:rPr>
  </w:style>
  <w:style w:type="character" w:customStyle="1" w:styleId="25">
    <w:name w:val="纯文本 Char"/>
    <w:basedOn w:val="16"/>
    <w:link w:val="2"/>
    <w:qFormat/>
    <w:uiPriority w:val="0"/>
    <w:rPr>
      <w:rFonts w:ascii="宋体" w:hAnsi="Courier New" w:eastAsia="宋体" w:cs="Times New Roman"/>
      <w:szCs w:val="20"/>
    </w:rPr>
  </w:style>
  <w:style w:type="character" w:customStyle="1" w:styleId="26">
    <w:name w:val="正文文本 Char"/>
    <w:basedOn w:val="16"/>
    <w:link w:val="7"/>
    <w:qFormat/>
    <w:uiPriority w:val="99"/>
    <w:rPr>
      <w:rFonts w:ascii="Times New Roman" w:hAnsi="Times New Roman" w:eastAsia="宋体" w:cs="Times New Roman"/>
      <w:kern w:val="0"/>
      <w:sz w:val="20"/>
      <w:szCs w:val="20"/>
    </w:rPr>
  </w:style>
  <w:style w:type="character" w:customStyle="1" w:styleId="27">
    <w:name w:val="font41"/>
    <w:basedOn w:val="16"/>
    <w:qFormat/>
    <w:uiPriority w:val="0"/>
    <w:rPr>
      <w:rFonts w:hint="default" w:ascii="Times New Roman" w:hAnsi="Times New Roman" w:cs="Times New Roman"/>
      <w:color w:val="000000"/>
      <w:sz w:val="20"/>
      <w:szCs w:val="20"/>
      <w:u w:val="none"/>
    </w:rPr>
  </w:style>
  <w:style w:type="character" w:customStyle="1" w:styleId="28">
    <w:name w:val="font31"/>
    <w:basedOn w:val="16"/>
    <w:qFormat/>
    <w:uiPriority w:val="0"/>
    <w:rPr>
      <w:rFonts w:hint="eastAsia" w:ascii="宋体" w:hAnsi="宋体" w:eastAsia="宋体" w:cs="宋体"/>
      <w:color w:val="000000"/>
      <w:sz w:val="20"/>
      <w:szCs w:val="20"/>
      <w:u w:val="none"/>
    </w:rPr>
  </w:style>
  <w:style w:type="paragraph" w:styleId="29">
    <w:name w:val="List Paragraph"/>
    <w:basedOn w:val="1"/>
    <w:qFormat/>
    <w:uiPriority w:val="34"/>
    <w:pPr>
      <w:ind w:firstLine="420" w:firstLineChars="200"/>
    </w:pPr>
    <w:rPr>
      <w:rFonts w:ascii="仿宋" w:hAnsi="仿宋" w:eastAsia="仿宋" w:cs="Times New Roman"/>
      <w:szCs w:val="24"/>
    </w:rPr>
  </w:style>
  <w:style w:type="character" w:customStyle="1" w:styleId="30">
    <w:name w:val="fontstyle01"/>
    <w:basedOn w:val="16"/>
    <w:qFormat/>
    <w:uiPriority w:val="0"/>
    <w:rPr>
      <w:rFonts w:hint="eastAsia" w:ascii="宋体" w:hAnsi="宋体" w:eastAsia="宋体"/>
      <w:color w:val="000000"/>
      <w:sz w:val="18"/>
      <w:szCs w:val="18"/>
    </w:rPr>
  </w:style>
  <w:style w:type="character" w:customStyle="1" w:styleId="31">
    <w:name w:val="font71"/>
    <w:basedOn w:val="16"/>
    <w:qFormat/>
    <w:uiPriority w:val="0"/>
    <w:rPr>
      <w:rFonts w:hint="default" w:ascii="Times New Roman" w:hAnsi="Times New Roman" w:cs="Times New Roman"/>
      <w:color w:val="000000"/>
      <w:sz w:val="16"/>
      <w:szCs w:val="16"/>
      <w:u w:val="none"/>
    </w:rPr>
  </w:style>
  <w:style w:type="character" w:customStyle="1" w:styleId="32">
    <w:name w:val="font61"/>
    <w:basedOn w:val="16"/>
    <w:qFormat/>
    <w:uiPriority w:val="0"/>
    <w:rPr>
      <w:rFonts w:hint="eastAsia" w:ascii="宋体" w:hAnsi="宋体" w:eastAsia="宋体" w:cs="宋体"/>
      <w:color w:val="000000"/>
      <w:sz w:val="16"/>
      <w:szCs w:val="16"/>
      <w:u w:val="none"/>
    </w:rPr>
  </w:style>
  <w:style w:type="paragraph" w:customStyle="1" w:styleId="33">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4">
    <w:name w:val="列表段落1"/>
    <w:basedOn w:val="1"/>
    <w:qFormat/>
    <w:uiPriority w:val="0"/>
    <w:pPr>
      <w:widowControl w:val="0"/>
      <w:ind w:firstLine="420" w:firstLineChars="200"/>
      <w:jc w:val="both"/>
    </w:pPr>
    <w:rPr>
      <w:rFonts w:ascii="Times New Roman" w:hAnsi="Times New Roman" w:cs="Times New Roman"/>
      <w:kern w:val="2"/>
      <w:sz w:val="21"/>
      <w:szCs w:val="21"/>
    </w:rPr>
  </w:style>
  <w:style w:type="paragraph" w:customStyle="1" w:styleId="35">
    <w:name w:val="正文首行缩进 21"/>
    <w:basedOn w:val="9"/>
    <w:semiHidden/>
    <w:qFormat/>
    <w:uiPriority w:val="0"/>
    <w:pPr>
      <w:widowControl w:val="0"/>
      <w:spacing w:before="100" w:beforeAutospacing="1" w:after="100" w:afterAutospacing="1"/>
      <w:ind w:firstLine="420"/>
    </w:pPr>
    <w:rPr>
      <w:rFonts w:ascii="Times New Roman" w:hAnsi="Times New Roman" w:eastAsia="宋体" w:cs="Times New Roman"/>
      <w:kern w:val="2"/>
      <w:sz w:val="24"/>
    </w:rPr>
  </w:style>
  <w:style w:type="character" w:customStyle="1" w:styleId="36">
    <w:name w:val="font81"/>
    <w:basedOn w:val="1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19</Pages>
  <Words>12552</Words>
  <Characters>13194</Characters>
  <Lines>7</Lines>
  <Paragraphs>2</Paragraphs>
  <TotalTime>0</TotalTime>
  <ScaleCrop>false</ScaleCrop>
  <LinksUpToDate>false</LinksUpToDate>
  <CharactersWithSpaces>13338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2022-04-21T01:48:00Z</dcterms:created>
  <dc:creator>USER-</dc:creator>
  <cp:lastModifiedBy>小陈Clam</cp:lastModifiedBy>
  <dcterms:modified xsi:type="dcterms:W3CDTF">2023-03-09T00:39:35Z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FF1E46E636754F7E831E5B98D815CB1E</vt:lpwstr>
  </property>
</Properties>
</file>