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6E6E6" w:sz="6" w:space="0"/>
          <w:left w:val="single" w:color="E6E6E6" w:sz="6" w:space="0"/>
          <w:bottom w:val="single" w:color="E6E6E6" w:sz="6" w:space="0"/>
          <w:right w:val="single" w:color="E6E6E6" w:sz="6" w:space="0"/>
        </w:pBdr>
        <w:spacing w:before="0" w:beforeAutospacing="0" w:after="0" w:afterAutospacing="0" w:line="525" w:lineRule="atLeast"/>
        <w:ind w:left="0" w:right="0"/>
        <w:jc w:val="center"/>
        <w:rPr>
          <w:rFonts w:hint="eastAsia" w:ascii="微软雅黑" w:hAnsi="微软雅黑" w:eastAsia="微软雅黑" w:cs="微软雅黑"/>
          <w:color w:val="1966A7"/>
          <w:sz w:val="36"/>
          <w:szCs w:val="36"/>
          <w:u w:val="none"/>
        </w:rPr>
      </w:pPr>
      <w:r>
        <w:rPr>
          <w:rFonts w:hint="eastAsia" w:ascii="微软雅黑" w:hAnsi="微软雅黑" w:eastAsia="微软雅黑" w:cs="微软雅黑"/>
          <w:color w:val="1966A7"/>
          <w:kern w:val="0"/>
          <w:sz w:val="36"/>
          <w:szCs w:val="36"/>
          <w:u w:val="none"/>
          <w:bdr w:val="none" w:color="auto" w:sz="0" w:space="0"/>
          <w:lang w:val="en-US" w:eastAsia="zh-CN" w:bidi="ar"/>
        </w:rPr>
        <w:t>中华人民共和国传染病防治法</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484848"/>
          <w:sz w:val="18"/>
          <w:szCs w:val="18"/>
          <w:u w:val="none"/>
          <w:bdr w:val="none" w:color="auto" w:sz="0" w:space="0"/>
        </w:rPr>
        <w:drawing>
          <wp:inline distT="0" distB="0" distL="114300" distR="114300">
            <wp:extent cx="228600" cy="228600"/>
            <wp:effectExtent l="0" t="0" r="0" b="0"/>
            <wp:docPr id="3" name="图片 4"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color w:val="484848"/>
          <w:sz w:val="18"/>
          <w:szCs w:val="18"/>
          <w:u w:val="none"/>
          <w:bdr w:val="none" w:color="auto" w:sz="0" w:space="0"/>
        </w:rPr>
        <w:drawing>
          <wp:inline distT="0" distB="0" distL="114300" distR="114300">
            <wp:extent cx="228600" cy="228600"/>
            <wp:effectExtent l="0" t="0" r="0" b="0"/>
            <wp:docPr id="1" name="图片 5"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8"/>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color w:val="484848"/>
          <w:sz w:val="18"/>
          <w:szCs w:val="18"/>
          <w:u w:val="none"/>
          <w:bdr w:val="none" w:color="auto" w:sz="0" w:space="0"/>
        </w:rPr>
        <w:drawing>
          <wp:inline distT="0" distB="0" distL="114300" distR="114300">
            <wp:extent cx="219075" cy="228600"/>
            <wp:effectExtent l="0" t="0" r="9525" b="0"/>
            <wp:docPr id="2" name="图片 6" descr="IMG_25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9"/>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single" w:color="E6E6E6" w:sz="6" w:space="0"/>
          <w:left w:val="single" w:color="E6E6E6" w:sz="6" w:space="0"/>
          <w:bottom w:val="single" w:color="E5E5E5" w:sz="6" w:space="0"/>
          <w:right w:val="single" w:color="E6E6E6" w:sz="6" w:space="0"/>
        </w:pBdr>
        <w:spacing w:before="270" w:beforeAutospacing="0" w:after="0" w:afterAutospacing="0"/>
        <w:ind w:left="0" w:right="0"/>
        <w:jc w:val="center"/>
        <w:rPr>
          <w:rFonts w:hint="eastAsia" w:ascii="微软雅黑" w:hAnsi="微软雅黑" w:eastAsia="微软雅黑" w:cs="微软雅黑"/>
          <w:color w:val="484848"/>
          <w:u w:val="none"/>
        </w:rPr>
      </w:pPr>
      <w:r>
        <w:rPr>
          <w:rFonts w:hint="eastAsia" w:ascii="微软雅黑" w:hAnsi="微软雅黑" w:eastAsia="微软雅黑" w:cs="微软雅黑"/>
          <w:color w:val="979797"/>
          <w:kern w:val="0"/>
          <w:sz w:val="18"/>
          <w:szCs w:val="18"/>
          <w:u w:val="none"/>
          <w:bdr w:val="none" w:color="auto" w:sz="0" w:space="0"/>
          <w:lang w:val="en-US" w:eastAsia="zh-CN" w:bidi="ar"/>
        </w:rPr>
        <w:t>发布时间： 2018-08-30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ind w:left="0" w:right="0"/>
        <w:rPr>
          <w:rFonts w:hint="eastAsia" w:ascii="微软雅黑" w:hAnsi="微软雅黑" w:eastAsia="微软雅黑" w:cs="微软雅黑"/>
          <w:color w:val="484848"/>
          <w:u w:val="none"/>
        </w:rPr>
      </w:pPr>
      <w:r>
        <w:rPr>
          <w:rFonts w:hint="eastAsia" w:ascii="微软雅黑" w:hAnsi="微软雅黑" w:eastAsia="微软雅黑" w:cs="微软雅黑"/>
          <w:color w:val="484848"/>
          <w:sz w:val="24"/>
          <w:szCs w:val="24"/>
          <w:u w:val="none"/>
          <w:bdr w:val="none" w:color="auto" w:sz="0" w:space="0"/>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（1989年2月21日第七届全国人民代表大会常务委员会第六次会议通过 2004年8月28日第十届全国人民代表大会常务委员会第十一次会议第一次修订 2004年8月28日中华人民共和国主席令第17号公布 根据2013年6月29日第十二届全国人民代表大会常务委员会第3次会议通过 2013年6月29日中华人民共和国主席令第5号公布 自公布之日起施行的《全国人民代表大会常务委员会关于修改〈中华人民共和国文物保护法〉等十二部法律的决定》第二次修正）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全文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第一章 总则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第二章 传染病预防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第三章 疫情报告、通报和公布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第四章 疫情控制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第五章 医疗救治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第六章 监督管理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第七章 保障措施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第八章 法律责任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第九章 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第一条 为了预防、控制和消除传染病的发生与流行，保障人体健康和公共卫生，制定本法。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第二条 国家对传染病防治实行预防为主的方针，防治结合、分类管理、依靠科学、依靠群众。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第三条 本法规定的传染病分为甲类、乙类和丙类。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甲类传染病是指：鼠疫、霍乱。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丙类传染病是指：流行性感冒、流行性腮腺炎、风疹、急性出血性结膜炎、麻风病、流行性和地方性斑疹伤寒、黑热病、包虫病、丝虫病，除霍乱、细菌性和阿米巴性痢疾、伤寒和副伤寒以外的感染性腹泻病。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国务院卫生行政部门根据传染病暴发、流行情况和危害程度，可以决定增加、减少或者调整乙类、丙类传染病病种并予以公布。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需要解除依照前款规定采取的甲类传染病预防、控制措施的，由国务院卫生行政部门报经国务院批准后予以公布。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省、自治区、直辖市人民政府对本行政区域内常见、多发的其他地方性传染病，可以根据情况决定按照乙类或者丙类传染病管理并予以公布，报国务院卫生行政部门备案。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第五条 各级人民政府领导传染病防治工作。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县级以上人民政府制定传染病防治规划并组织实施，建立健全传染病防治的疾病预防控制、医疗救治和监督管理体系。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第六条 国务院卫生行政部门主管全国传染病防治及其监督管理工作。县级以上地方人民政府卫生行政部门负责本行政区域内的传染病防治及其监督管理工作。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县级以上人民政府其他部门在各自的职责范围内负责传染病防治工作。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军队的传染病防治工作，依照本法和国家有关规定办理，由中国人民解放军卫生主管部门实施监督管理。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第七条 各级疾病预防控制机构承担传染病监测、预测、流行病学调查、疫情报告以及其他预防、控制工作。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医疗机构承担与医疗救治有关的传染病防治工作和责任区域内的传染病预防工作。城市社区和农村基层医疗机构在疾病预防控制机构的指导下，承担城市社区、农村基层相应的传染病防治工作。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第八条 国家发展现代医学和中医药等传统医学，支持和鼓励开展传染病防治的科学研究，提高传染病防治的科学技术水平。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国家支持和鼓励开展传染病防治的国际合作。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第九条 国家支持和鼓励单位和个人参与传染病防治工作。各级人民政府应当完善有关制度，方便单位和个人参与防治传染病的宣传教育、疫情报告、志愿服务和捐赠活动。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居民委员会、村民委员会应当组织居民、村民参与社区、农村的传染病预防与控制活动。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第十条 国家开展预防传染病的健康教育。新闻媒体应当无偿开展传染病防治和公共卫生教育的公益宣传。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各级各类学校应当对学生进行健康知识和传染病预防知识的教育。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医学院校应当加强预防医学教育和科学研究，对在校学生以及其他与传染病防治相关人员进行预防医学教育和培训，为传染病防治工作提供技术支持。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疾病预防控制机构、医疗机构应当定期对其工作人员进行传染病防治知识、技能的培训。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第十一条 对在传染病防治工作中做出显著成绩和贡献的单位和个人，给予表彰和奖励。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对因参与传染病防治工作致病、致残、死亡的人员，按照有关规定给予补助、抚恤。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卫生行政部门以及其他有关部门、疾病预防控制机构和医疗机构因违法实施行政管理或者预防、控制措施，侵犯单位和个人合法权益的，有关单位和个人可以依法申请行政复议或者提起诉讼。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第二章 传染病预防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第十三条 各级人民政府组织开展群众性卫生活动，进行预防传染病的健康教育，倡导文明健康的生活方式，提高公众对传染病的防治意识和应对能力，加强环境卫生建设，消除鼠害和蚊、蝇等病媒生物的危害。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各级人民政府农业、水利、林业行政部门按照职责分工负责指导和组织消除农田、湖区、河流、牧场、林区的鼠害与血吸虫危害，以及其他传播传染病的动物和病媒生物的危害。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铁路、交通、民用航空行政部门负责组织消除交通工具以及相关场所的鼠害和蚊、蝇等病媒生物的危害。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第十四条 地方各级人民政府应当有计划地建设和改造公共卫生设施，改善饮用水卫生条件，对污水、污物、粪便进行无害化处置。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第十五条 国家实行有计划的预防接种制度。国务院卫生行政部门和省、自治区、直辖市人民政府卫生行政部门，根据传染病预防、控制的需要，制定传染病预防接种规划并组织实施。用于预防接种的疫苗必须符合国家质量标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国家对儿童实行预防接种证制度。国家免疫规划项目的预防接种实行免费。医疗机构、疾病预防控制机构与儿童的监护人应当相互配合，保证儿童及时接受预防接种。具体办法由国务院制定。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第十六条 国家和社会应当关心、帮助传染病病人、病原携带者和疑似传染病病人，使其得到及时救治。任何单位和个人不得歧视传染病病人、病原携带者和疑似传染病病人。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传染病病人、病原携带者和疑似传染病病人，在治愈前或者在排除传染病嫌疑前，不得从事法律、行政法规和国务院卫生行政部门规定禁止从事的易使该传染病扩散的工作。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第十七条 国家建立传染病监测制度。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国务院卫生行政部门制定国家传染病监测规划和方案。省、自治区、直辖市人民政府卫生行政部门根据国家传染病监测规划和方案，制定本行政区域的传染病监测计划和工作方案。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各级疾病预防控制机构对传染病的发生、流行以及影响其发生、流行的因素，进行监测；对国外发生、国内尚未发生的传染病或者国内新发生的传染病，进行监测。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第十八条 各级疾病预防控制机构在传染病预防控制中履行下列职责：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（一）实施传染病预防控制规划、计划和方案；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（二）收集、分析和报告传染病监测信息，预测传染病的发生、流行趋势；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（三）开展对传染病疫情和突发公共卫生事件的流行病学调查、现场处理及其效果评价；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（四）开展传染病实验室检测、诊断、病原学鉴定；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（五）实施免疫规划，负责预防性生物制品的使用管理；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（六）开展健康教育、咨询，普及传染病防治知识；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（七）指导、培训下级疾病预防控制机构及其工作人员开展传染病监测工作；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（八）开展传染病防治应用性研究和卫生评价，提供技术咨询。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第十九条 国家建立传染病预警制度。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国务院卫生行政部门和省、自治区、直辖市人民政府根据传染病发生、流行趋势的预测，及时发出传染病预警，根据情况予以公布。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第二十条 县级以上地方人民政府应当制定传染病预防、控制预案，报上一级人民政府备案。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传染病预防、控制预案应当包括以下主要内容：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（一）传染病预防控制指挥部的组成和相关部门的职责；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（二）传染病的监测、信息收集、分析、报告、通报制度；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（三）疾病预防控制机构、医疗机构在发生传染病疫情时的任务与职责；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（四）传染病暴发、流行情况的分级以及相应的应急工作方案；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（五）传染病预防、疫点疫区现场控制，应急设施、设备、救治药品和医疗器械以及其他物资和技术的储备与调用。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地方人民政府和疾病预防控制机构接到国务院卫生行政部门或者省、自治区、直辖市人民政府发出的传染病预警后，应当按照传染病预防、控制预案，采取相应的预防、控制措施。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第二十一条 医疗机构必须严格执行国务院卫生行政部门规定的管理制度、操作规范，防止传染病的医源性感染和医院感染。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医疗机构应当确定专门的部门或者人员，承担传染病疫情报告、本单位的传染病预防、控制以及责任区域内的传染病预防工作；承担医疗活动中与医院感染有关的危险因素监测、安全防护、消毒、隔离和医疗废物处置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疾病预防控制机构应当指定专门人员负责对医疗机构内传染病预防工作进行指导、考核，开展流行病学调查。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第二十三条 采供血机构、生物制品生产单位必须严格执行国家有关规定，保证血液、血液制品的质量。禁止非法采集血液或者组织他人出卖血液。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疾病预防控制机构、医疗机构使用血液和血液制品，必须遵守国家有关规定，防止因输入血液、使用血液制品引起经血液传播疾病的发生。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第二十四条 各级人民政府应当加强艾滋病的防治工作，采取预防、控制措施，防止艾滋病的传播。具体办法由国务院制定。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第二十五条 县级以上人民政府农业、林业行政部门以及其他有关部门，依据各自的职责负责与人畜共患传染病有关的动物传染病的防治管理工作。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与人畜共患传染病有关的野生动物、家畜家禽，经检疫合格后，方可出售、运输。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第二十六条 国家建立传染病菌种、毒种库。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对传染病菌种、毒种和传染病检测样本的采集、保藏、携带、运输和使用实行分类管理，建立健全严格的管理制度。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对可能导致甲类传染病传播的以及国务院卫生行政部门规定的菌种、毒种和传染病检测样本，确需采集、保藏、携带、运输和使用的，须经省级以上人民政府卫生行政部门批准。具体办法由国务院制定。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第二十九条 用于传染病防治的消毒产品、饮用水供水单位供应的饮用水和涉及饮用水卫生安全的产品，应当符合国家卫生标准和卫生规范。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饮用水供水单位从事生产或者供应活动，应当依法取得卫生许可证。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生产用于传染病防治的消毒产品的单位和生产用于传染病防治的消毒产品，应当经省级以上人民政府卫生行政部门审批。具体办法由国务院制定。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第三章 疫情报告、通报和公布</w:t>
      </w: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军队医疗机构向社会公众提供医疗服务，发现前款规定的传染病疫情时，应当按照国务院卫生行政部门的规定报告。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第三十一条 任何单位和个人发现传染病病人或者疑似传染病病人时，应当及时向附近的疾病预防控制机构或者医疗机构报告。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疾病预防控制机构应当设立或者指定专门的部门、人员负责传染病疫情信息管理工作，及时对疫情报告进行核实、分析。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第三十五条 国务院卫生行政部门应当及时向国务院其他有关部门和各省、自治区、直辖市人民政府卫生行政部门通报全国传染病疫情以及监测、预警的相关信息。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毗邻的以及相关的地方人民政府卫生行政部门，应当及时互相通报本行政区域的传染病疫情以及监测、预警的相关信息。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县级以上人民政府有关部门发现传染病疫情时，应当及时向同级人民政府卫生行政部门通报。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中国人民解放军卫生主管部门发现传染病疫情时，应当向国务院卫生行政部门通报。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第三十六条 动物防疫机构和疾病预防控制机构，应当及时互相通报动物间和人间发生的人畜共患传染病疫情以及相关信息。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第三十七条 依照本法的规定负有传染病疫情报告职责的人民政府有关部门、疾病预防控制机构、医疗机构、采供血机构及其工作人员，不得隐瞒、谎报、缓报传染病疫情。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第三十八条 国家建立传染病疫情信息公布制度。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国务院卫生行政部门定期公布全国传染病疫情信息。省、自治区、直辖市人民政府卫生行政部门定期公布本行政区域的传染病疫情信息。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传染病暴发、流行时，国务院卫生行政部门负责向社会公布传染病疫情信息，并可以授权省、自治区、直辖市人民政府卫生行政部门向社会公布本行政区域的传染病疫情信息。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公布传染病疫情信息应当及时、准确。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第四章 疫情控制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第三十九条 医疗机构发现甲类传染病时，应当及时采取下列措施：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（一）对病人、病原携带者，予以隔离治疗，隔离期限根据医学检查结果确定；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（二）对疑似病人，确诊前在指定场所单独隔离治疗；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（三）对医疗机构内的病人、病原携带者、疑似病人的密切接触者，在指定场所进行医学观察和采取其他必要的预防措施。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拒绝隔离治疗或者隔离期未满擅自脱离隔离治疗的，可以由公安机关协助医疗机构采取强制隔离治疗措施。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医疗机构发现乙类或者丙类传染病病人，应当根据病情采取必要的治疗和控制传播措施。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医疗机构对本单位内被传染病病原体污染的场所、物品以及医疗废物，必须依照法律、法规的规定实施消毒和无害化处置。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第四十条 疾病预防控制机构发现传染病疫情或者接到传染病疫情报告时，应当及时采取下列措施：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对传染病疫情进行流行病学调查，根据调查情况提出划定疫点、疫区的建议，对被污染的场所进行卫生处理，对密切接触者，在指定场所进行医学观察和采取其他必要的预防措施，并向卫生行政部门提出疫情控制方案；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（二）传染病暴发、流行时，对疫点、疫区进行卫生处理，向卫生行政部门提出疫情控制方案，并按照卫生行政部门的要求采取措施；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（三）指导下级疾病预防控制机构实施传染病预防、控制措施，组织、指导有关单位对传染病疫情的处理。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在隔离期间，实施隔离措施的人民政府应当对被隔离人员提供生活保障；被隔离人员有工作单位的，所在单位不得停止支付其隔离期间的工作报酬。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隔离措施的解除，由原决定机关决定并宣布。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第四十二条 传染病暴发、流行时，县级以上地方人民政府应当立即组织力量，按照预防、控制预案进行防治，切断传染病的传播途径，必要时，报经上一级人民政府决定，可以采取下列紧急措施并予以公告：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（一）限制或者停止集市、影剧院演出或者其他人群聚集的活动；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（二）停工、停业、停课；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（三）封闭或者封存被传染病病原体污染的公共饮用水源、食品以及相关物品；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（四）控制或者扑杀染疫野生动物、家畜家禽；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（五）封闭可能造成传染病扩散的场所。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上级人民政府接到下级人民政府关于采取前款所列紧急措施的报告时，应当即时作出决定。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紧急措施的解除，由原决定机关决定并宣布。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省、自治区、直辖市人民政府可以决定对本行政区域内的甲类传染病疫区实施封锁；但是，封锁大、中城市的疫区或者封锁跨省、自治区、直辖市的疫区，以及封锁疫区导致中断干线交通或者封锁国境的，由国务院决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疫区封锁的解除，由原决定机关决定并宣布。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第四十四条 发生甲类传染病时，为了防止该传染病通过交通工具及其乘运的人员、物资传播，可以实施交通卫生检疫。具体办法由国务院制定。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紧急调集人员的，应当按照规定给予合理报酬。临时征用房屋、交通工具以及相关设施、设备的，应当依法给予补偿；能返还的，应当及时返还。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第四十六条 患甲类传染病、炭疽死亡的，应当将尸体立即进行卫生处理，就近火化。患其他传染病死亡的，必要时，应当将尸体进行卫生处理后火化或者按照规定深埋。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为了查找传染病病因，医疗机构在必要时可以按照国务院卫生行政部门的规定，对传染病病人尸体或者疑似传染病病人尸体进行解剖查验，并应当告知死者家属。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第四十七条 疫区中被传染病病原体污染或者可能被传染病病原体污染的物品，经消毒可以使用的，应当在当地疾病预防控制机构的指导下，进行消毒处理后，方可使用、出售和运输。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第四十八条 发生传染病疫情时，疾病预防控制机构和省级以上人民政府卫生行政部门指派的其他与传染病有关的专业技术机构，可以进入传染病疫点、疫区进行调查、采集样本、技术分析和检验。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第五章 医疗救治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第五十条 县级以上人民政府应当加强和完善传染病医疗救治服务网络的建设，指定具备传染病救治条件和能力的医疗机构承担传染病救治任务，或者根据传染病救治需要设置传染病医院。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第五十一条 医疗机构的基本标准、建筑设计和服务流程，应当符合预防传染病医院感染的要求。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医疗机构应当按照规定对使用的医疗器械进行消毒；对按照规定一次使用的医疗器具，应当在使用后予以销毁。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医疗机构应当按照国务院卫生行政部门规定的传染病诊断标准和治疗要求，采取相应措施，提高传染病医疗救治能力。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第五十二条 医疗机构应当对传染病病人或者疑似传染病病人提供医疗救护、现场救援和接诊治疗，书写病历记录以及其他有关资料，并妥善保管。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第五十三条 县级以上人民政府卫生行政部门对传染病防治工作履行下列监督检查职责：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（一）对下级人民政府卫生行政部门履行本法规定的传染病防治职责进行监督检查；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（二）对疾病预防控制机构、医疗机构的传染病防治工作进行监督检查；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（三）对采供血机构的采供血活动进行监督检查；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（四）对用于传染病防治的消毒产品及其生产单位进行监督检查，并对饮用水供水单位从事生产或者供应活动以及涉及饮用水卫生安全的产品进行监督检查；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（五）对传染病菌种、毒种和传染病检测样本的采集、保藏、携带、运输、使用进行监督检查；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（六）对公共场所和有关单位的卫生条件和传染病预防、控制措施进行监督检查。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省级以上人民政府卫生行政部门负责组织对传染病防治重大事项的处理。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第五十四条 县级以上人民政府卫生行政部门在履行监督检查职责时，有权进入被检查单位和传染病疫情发生现场调查取证，查阅或者复制有关的资料和采集样本。被检查单位应当予以配合，不得拒绝、阻挠。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第五十六条 卫生行政部门工作人员依法执行职务时，应当不少于两人，并出示执法证件，填写卫生执法文书。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卫生执法文书经核对无误后，应当由卫生执法人员和当事人签名。当事人拒绝签名的，卫生执法人员应当注明情况。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第五十七条 卫生行政部门应当依法建立健全内部监督制度，对其工作人员依据法定职权和程序履行职责的情况进行监督。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上级卫生行政部门发现下级卫生行政部门不及时处理职责范围内的事项或者不履行职责的，应当责令纠正或者直接予以处理。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第五十九条 国家将传染病防治工作纳入国民经济和社会发展计划，县级以上地方人民政府将传染病防治工作纳入本行政区域的国民经济和社会发展计划。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第六十条 县级以上地方人民政府按照本级政府职责负责本行政区域内传染病预防、控制、监督工作的日常经费。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国务院卫生行政部门会同国务院有关部门，根据传染病流行趋势，确定全国传染病预防、控制、救治、监测、预测、预警、监督检查等项目。中央财政对困难地区实施重大传染病防治项目给予补助。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省、自治区、直辖市人民政府根据本行政区域内传染病流行趋势，在国务院卫生行政部门确定的项目范围内，确定传染病预防、控制、监督等项目，并保障项目的实施经费。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第六十一条 国家加强基层传染病防治体系建设，扶持贫困地区和少数民族地区的传染病防治工作。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地方各级人民政府应当保障城市社区、农村基层传染病预防工作的经费。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第六十二条 国家对患有特定传染病的困难人群实行医疗救助，减免医疗费用。具体办法由国务院卫生行政部门会同国务院财政部门等部门制定。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第六十三条 县级以上人民政府负责储备防治传染病的药品、医疗器械和其他物资，以备调用。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第六十四条 对从事传染病预防、医疗、科研、教学、现场处理疫情的人员，以及在生产、工作中接触传染病病原体的其他人员，有关单位应当按照国家规定，采取有效的卫生防护措施和医疗保健措施，并给予适当的津贴。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第八章 法律责任</w:t>
      </w: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（一）未依法履行传染病疫情通报、报告或者公布职责，或者隐瞒、谎报、缓报传染病疫情的；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（二）发生或者可能发生传染病传播时未及时采取预防、控制措施的；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（三）未依法履行监督检查职责，或者发现违法行为不及时查处的；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（四）未及时调查、处理单位和个人对下级卫生行政部门不履行传染病防治职责的举报的；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（五）违反本法的其他失职、渎职行为。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（一）未依法履行传染病监测职责的；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（二）未依法履行传染病疫情报告、通报职责，或者隐瞒、谎报、缓报传染病疫情的；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（三）未主动收集传染病疫情信息，或者对传染病疫情信息和疫情报告未及时进行分析、调查、核实的；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（四）发现传染病疫情时，未依据职责及时采取本法规定的措施的；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（五）故意泄露传染病病人、病原携带者、疑似传染病病人、密切接触者涉及个人隐私的有关信息、资料的。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（一）未按照规定承担本单位的传染病预防、控制工作、医院感染控制任务和责任区域内的传染病预防工作的；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（二）未按照规定报告传染病疫情，或者隐瞒、谎报、缓报传染病疫情的；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（三）发现传染病疫情时，未按照规定对传染病病人、疑似传染病病人提供医疗救护、现场救援、接诊、转诊的，或者拒绝接受转诊的；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（四）未按照规定对本单位内被传染病病原体污染的场所、物品以及医疗废物实施消毒或者无害化处置的；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（五）未按照规定对医疗器械进行消毒，或者对按照规定一次使用的医疗器具未予销毁，再次使用的；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（六）在医疗救治过程中未按照规定保管医学记录资料的；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（七）故意泄露传染病病人、病原携带者、疑似传染病病人、密切接触者涉及个人隐私的有关信息、资料的。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非法采集血液或者组织他人出卖血液的，由县级以上人民政府卫生行政部门予以取缔，没收违法所得，可以并处十万元以下的罚款；构成犯罪的，依法追究刑事责任。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（一）饮用水供水单位供应的饮用水不符合国家卫生标准和卫生规范的；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（二）涉及饮用水卫生安全的产品不符合国家卫生标准和卫生规范的；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（三）用于传染病防治的消毒产品不符合国家卫生标准和卫生规范的；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（四）出售、运输疫区中被传染病病原体污染或者可能被传染病病原体污染的物品，未进行消毒处理的；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（五）生物制品生产单位生产的血液制品不符合国家质量标准的。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（一）疾病预防控制机构、医疗机构和从事病原微生物实验的单位，不符合国家规定的条件和技术标准，对传染病病原体样本未按照规定进行严格管理，造成实验室感染和病原微生物扩散的；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（二）违反国家有关规定，采集、保藏、携带、运输和使用传染病菌种、毒种和传染病检测样本的；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（三）疾病预防控制机构、医疗机构未执行国家有关规定，导致因输入血液、使用血液制品引起经血液传播疾病发生的。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第七十五条 未经检疫出售、运输与人畜共患传染病有关的野生动物、家畜家禽的，由县级以上地方人民政府畜牧兽医行政部门责令停止违法行为，并依法给予行政处罚。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第七十七条 单位和个人违反本法规定，导致传染病传播、流行，给他人人身、财产造成损害的，应当依法承担民事责任。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center"/>
        <w:rPr>
          <w:rFonts w:hint="default" w:ascii="仿宋_GB2312" w:eastAsia="仿宋_GB2312" w:cs="仿宋_GB2312"/>
          <w:color w:val="484848"/>
          <w:sz w:val="32"/>
          <w:szCs w:val="32"/>
          <w:u w:val="none"/>
        </w:rPr>
      </w:pPr>
      <w:r>
        <w:rPr>
          <w:rStyle w:val="6"/>
          <w:rFonts w:hint="eastAsia" w:ascii="微软雅黑" w:hAnsi="微软雅黑" w:eastAsia="微软雅黑" w:cs="微软雅黑"/>
          <w:color w:val="484848"/>
          <w:sz w:val="44"/>
          <w:szCs w:val="44"/>
          <w:u w:val="none"/>
          <w:bdr w:val="none" w:color="auto" w:sz="0" w:space="0"/>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color w:val="484848"/>
          <w:sz w:val="32"/>
          <w:szCs w:val="32"/>
          <w:u w:val="none"/>
          <w:bdr w:val="none" w:color="auto" w:sz="0" w:space="0"/>
        </w:rPr>
        <w:t>　　第七十八条 本法中下列用语的含义：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（一）传染病病人、疑似传染病病人：指根据国务院卫生行政部门发布的《中华人民共和国传染病防治法规定管理的传染病诊断标准》，符合传染病病人和疑似传染病病人诊断标准的人。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（二）病原携带者：指感染病原体无临床症状但能排出病原体的人。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（三）流行病学调查：指对人群中疾病或者健康状况的分布及其决定因素进行调查研究，提出疾病预防控制措施及保健对策。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（四）疫点：指病原体从传染源向周围播散的范围较小或者单个疫源地。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（五）疫区：指传染病在人群中暴发、流行，其病原体向周围播散时所能波及的地区。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（六）人畜共患传染病：指人与脊椎动物共同罹患的传染病，如鼠疫、狂犬病、血吸虫病等。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（七）自然疫源地：指某些可引起人类传染病的病原体在自然界的野生动物中长期存在和循环的地区。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（八）病媒生物：指能够将病原体从人或者其他动物传播给人的生物，如蚊、蝇、蚤类等。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（九）医源性感染：指在医学服务中，因病原体传播引起的感染。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十）医院感染：指住院病人在医院内获得的感染，包括在住院期间发生的感染和在医院内获得出院后发生的感染，但不包括入院前已开始或者入院时已处于潜伏期的感染。医院工作人员在医院内获得的感染也属医院感染。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（十一）实验室感染：指从事实验室工作时，因接触病原体所致的感染。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（十二）菌种、毒种：指可能引起本法规定的传染病发生的细菌菌种、病毒毒种。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（十三）消毒：指用化学、物理、生物的方法杀灭或者消除环境中的病原微生物。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（十四）疾病预防控制机构：指从事疾病预防控制活动的疾病预防控制中心以及与上述机构业务活动相同的单位。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（十五）医疗机构：指按照《医疗机构管理条例》取得医疗机构执业许可证，从事疾病诊断、治疗活动的机构。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第七十九条 传染病防治中有关食品、药品、血液、水、医疗废物和病原微生物的管理以及动物防疫和国境卫生检疫，本法未规定的，分别适用其他有关法律、行政法规的规定。 </w:t>
      </w:r>
      <w:r>
        <w:rPr>
          <w:rFonts w:hint="default" w:ascii="仿宋_GB2312" w:hAnsi="微软雅黑" w:eastAsia="仿宋_GB2312" w:cs="仿宋_GB2312"/>
          <w:color w:val="484848"/>
          <w:sz w:val="32"/>
          <w:szCs w:val="32"/>
          <w:u w:val="none"/>
          <w:bdr w:val="none" w:color="auto" w:sz="0" w:space="0"/>
        </w:rPr>
        <w:br w:type="textWrapping"/>
      </w:r>
      <w:r>
        <w:rPr>
          <w:rFonts w:hint="default" w:ascii="仿宋_GB2312" w:hAnsi="微软雅黑" w:eastAsia="仿宋_GB2312" w:cs="仿宋_GB2312"/>
          <w:color w:val="484848"/>
          <w:sz w:val="32"/>
          <w:szCs w:val="32"/>
          <w:u w:val="none"/>
          <w:bdr w:val="none" w:color="auto" w:sz="0" w:space="0"/>
        </w:rPr>
        <w:t>　　第八十条 本法自2004年12月1日起施行。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微软雅黑" w:hAnsi="微软雅黑" w:eastAsia="微软雅黑" w:cs="微软雅黑"/>
          <w:color w:val="484848"/>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E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www.nhc.gov.cn/fzs/s3576/201808/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fzs/s3576/201808/6d00c158844f42c5bcf94993bffa665a.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2019-06-03T08:36:42Z</dcterms:created>
  <dc:creator>hp</dc:creator>
  <cp:lastModifiedBy>明琼</cp:lastModifiedBy>
  <dcterms:modified xsi:type="dcterms:W3CDTF">2019-06-03T08:37:40Z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