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rPr>
          <w:rFonts w:ascii="微软雅黑" w:hAnsi="微软雅黑" w:eastAsia="微软雅黑" w:cs="宋体"/>
          <w:color w:val="1966A7"/>
          <w:kern w:val="0"/>
          <w:sz w:val="36"/>
          <w:szCs w:val="36"/>
        </w:rPr>
      </w:pPr>
      <w:r>
        <w:rPr>
          <w:rFonts w:hint="eastAsia" w:ascii="微软雅黑" w:hAnsi="微软雅黑" w:eastAsia="微软雅黑" w:cs="宋体"/>
          <w:color w:val="1966A7"/>
          <w:kern w:val="0"/>
          <w:sz w:val="36"/>
          <w:szCs w:val="36"/>
        </w:rPr>
        <w:t>关于印发医疗废物分类目录（2021年版）的通知</w:t>
      </w:r>
    </w:p>
    <w:p>
      <w:pPr>
        <w:widowControl/>
        <w:jc w:val="center"/>
        <w:rPr>
          <w:rFonts w:hint="eastAsia" w:ascii="微软雅黑" w:hAnsi="微软雅黑" w:eastAsia="微软雅黑" w:cs="宋体"/>
          <w:color w:val="484848"/>
          <w:kern w:val="0"/>
          <w:sz w:val="15"/>
          <w:szCs w:val="15"/>
        </w:rPr>
      </w:pPr>
      <w:r>
        <w:rPr>
          <w:rFonts w:ascii="微软雅黑" w:hAnsi="微软雅黑" w:eastAsia="微软雅黑" w:cs="宋体"/>
          <w:color w:val="484848"/>
          <w:kern w:val="0"/>
          <w:sz w:val="18"/>
          <w:szCs w:val="18"/>
        </w:rPr>
        <w:drawing>
          <wp:inline distT="0" distB="0" distL="0" distR="0">
            <wp:extent cx="228600" cy="228600"/>
            <wp:effectExtent l="19050" t="0" r="0" b="0"/>
            <wp:docPr id="1" name="图片 1" descr="http://www.nhc.gov.cn/yzygj/xhtml/images/s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nhc.gov.cn/yzygj/xhtml/images/sm.jpg"/>
                    <pic:cNvPicPr>
                      <a:picLocks noChangeAspect="1" noChangeArrowheads="1"/>
                    </pic:cNvPicPr>
                  </pic:nvPicPr>
                  <pic:blipFill>
                    <a:blip r:embed="rId5"/>
                    <a:srcRect/>
                    <a:stretch>
                      <a:fillRect/>
                    </a:stretch>
                  </pic:blipFill>
                  <pic:spPr>
                    <a:xfrm>
                      <a:off x="0" y="0"/>
                      <a:ext cx="228600" cy="228600"/>
                    </a:xfrm>
                    <a:prstGeom prst="rect">
                      <a:avLst/>
                    </a:prstGeom>
                    <a:noFill/>
                    <a:ln w="9525">
                      <a:noFill/>
                      <a:miter lim="800000"/>
                      <a:headEnd/>
                      <a:tailEnd/>
                    </a:ln>
                  </pic:spPr>
                </pic:pic>
              </a:graphicData>
            </a:graphic>
          </wp:inline>
        </w:drawing>
      </w:r>
      <w:r>
        <w:rPr>
          <w:rFonts w:ascii="微软雅黑" w:hAnsi="微软雅黑" w:eastAsia="微软雅黑" w:cs="宋体"/>
          <w:color w:val="484848"/>
          <w:kern w:val="0"/>
          <w:sz w:val="18"/>
          <w:szCs w:val="18"/>
        </w:rPr>
        <w:drawing>
          <wp:inline distT="0" distB="0" distL="0" distR="0">
            <wp:extent cx="228600" cy="228600"/>
            <wp:effectExtent l="19050" t="0" r="0" b="0"/>
            <wp:docPr id="2" name="图片 2" descr="http://www.nhc.gov.cn/yzygj/xhtml/images/bi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nhc.gov.cn/yzygj/xhtml/images/big.jpg"/>
                    <pic:cNvPicPr>
                      <a:picLocks noChangeAspect="1" noChangeArrowheads="1"/>
                    </pic:cNvPicPr>
                  </pic:nvPicPr>
                  <pic:blipFill>
                    <a:blip r:embed="rId6"/>
                    <a:srcRect/>
                    <a:stretch>
                      <a:fillRect/>
                    </a:stretch>
                  </pic:blipFill>
                  <pic:spPr>
                    <a:xfrm>
                      <a:off x="0" y="0"/>
                      <a:ext cx="228600" cy="228600"/>
                    </a:xfrm>
                    <a:prstGeom prst="rect">
                      <a:avLst/>
                    </a:prstGeom>
                    <a:noFill/>
                    <a:ln w="9525">
                      <a:noFill/>
                      <a:miter lim="800000"/>
                      <a:headEnd/>
                      <a:tailEnd/>
                    </a:ln>
                  </pic:spPr>
                </pic:pic>
              </a:graphicData>
            </a:graphic>
          </wp:inline>
        </w:drawing>
      </w:r>
      <w:r>
        <w:rPr>
          <w:rFonts w:ascii="微软雅黑" w:hAnsi="微软雅黑" w:eastAsia="微软雅黑" w:cs="宋体"/>
          <w:color w:val="484848"/>
          <w:kern w:val="0"/>
          <w:sz w:val="18"/>
          <w:szCs w:val="18"/>
        </w:rPr>
        <w:drawing>
          <wp:inline distT="0" distB="0" distL="0" distR="0">
            <wp:extent cx="219075" cy="228600"/>
            <wp:effectExtent l="19050" t="0" r="9525" b="0"/>
            <wp:docPr id="3" name="图片 3" descr="http://www.nhc.gov.cn/yzygj/xhtml/images/dy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nhc.gov.cn/yzygj/xhtml/images/dys.jpg"/>
                    <pic:cNvPicPr>
                      <a:picLocks noChangeAspect="1" noChangeArrowheads="1"/>
                    </pic:cNvPicPr>
                  </pic:nvPicPr>
                  <pic:blipFill>
                    <a:blip r:embed="rId8"/>
                    <a:srcRect/>
                    <a:stretch>
                      <a:fillRect/>
                    </a:stretch>
                  </pic:blipFill>
                  <pic:spPr>
                    <a:xfrm>
                      <a:off x="0" y="0"/>
                      <a:ext cx="219075" cy="228600"/>
                    </a:xfrm>
                    <a:prstGeom prst="rect">
                      <a:avLst/>
                    </a:prstGeom>
                    <a:noFill/>
                    <a:ln w="9525">
                      <a:noFill/>
                      <a:miter lim="800000"/>
                      <a:headEnd/>
                      <a:tailEnd/>
                    </a:ln>
                  </pic:spPr>
                </pic:pic>
              </a:graphicData>
            </a:graphic>
          </wp:inline>
        </w:drawing>
      </w:r>
    </w:p>
    <w:p>
      <w:pPr>
        <w:widowControl/>
        <w:jc w:val="center"/>
        <w:rPr>
          <w:rFonts w:hint="eastAsia" w:ascii="微软雅黑" w:hAnsi="微软雅黑" w:eastAsia="微软雅黑" w:cs="宋体"/>
          <w:color w:val="484848"/>
          <w:kern w:val="0"/>
          <w:sz w:val="15"/>
          <w:szCs w:val="15"/>
        </w:rPr>
      </w:pPr>
      <w:r>
        <w:rPr>
          <w:rFonts w:hint="eastAsia" w:ascii="微软雅黑" w:hAnsi="微软雅黑" w:eastAsia="微软雅黑" w:cs="宋体"/>
          <w:color w:val="979797"/>
          <w:kern w:val="0"/>
          <w:sz w:val="18"/>
          <w:szCs w:val="18"/>
        </w:rPr>
        <w:t>发布时间： 2021-12-01 </w:t>
      </w:r>
      <w:r>
        <w:rPr>
          <w:rFonts w:hint="eastAsia" w:ascii="微软雅黑" w:hAnsi="微软雅黑" w:eastAsia="微软雅黑" w:cs="宋体"/>
          <w:color w:val="979797"/>
          <w:kern w:val="0"/>
          <w:sz w:val="18"/>
        </w:rPr>
        <w:t>来源: 医政医管局</w:t>
      </w:r>
    </w:p>
    <w:p>
      <w:pPr>
        <w:widowControl/>
        <w:jc w:val="right"/>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xml:space="preserve"> 号</w:t>
      </w:r>
      <w:r>
        <w:rPr>
          <w:rFonts w:hint="eastAsia" w:ascii="MS Mincho" w:hAnsi="MS Mincho" w:eastAsia="MS Mincho" w:cs="MS Mincho"/>
          <w:color w:val="484848"/>
          <w:kern w:val="0"/>
          <w:sz w:val="32"/>
          <w:szCs w:val="32"/>
        </w:rPr>
        <w:t> </w:t>
      </w:r>
      <w:r>
        <w:rPr>
          <w:rFonts w:hint="eastAsia" w:ascii="仿宋" w:hAnsi="仿宋" w:eastAsia="仿宋" w:cs="宋体"/>
          <w:color w:val="484848"/>
          <w:kern w:val="0"/>
          <w:sz w:val="32"/>
          <w:szCs w:val="32"/>
        </w:rPr>
        <w:t>国卫医函〔2021〕238</w:t>
      </w:r>
    </w:p>
    <w:p>
      <w:pPr>
        <w:widowControl/>
        <w:rPr>
          <w:rFonts w:hint="eastAsia" w:ascii="仿宋" w:hAnsi="仿宋" w:eastAsia="仿宋" w:cs="宋体"/>
          <w:color w:val="484848"/>
          <w:kern w:val="0"/>
          <w:sz w:val="32"/>
          <w:szCs w:val="32"/>
        </w:rPr>
      </w:pPr>
      <w:r>
        <w:rPr>
          <w:rFonts w:hint="eastAsia" w:ascii="MS Mincho" w:hAnsi="MS Mincho" w:eastAsia="MS Mincho" w:cs="MS Mincho"/>
          <w:color w:val="484848"/>
          <w:kern w:val="0"/>
          <w:sz w:val="32"/>
          <w:szCs w:val="32"/>
        </w:rPr>
        <w:t> </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各省、自治区、直辖市及新疆生产建设兵团卫生健康委、生态环境厅（局）：</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为进一步规范医疗废物管理，促进医疗废物科学分类、科学处置，国家卫生健康委和生态环境部组织修订了2003年《医疗废物分类目录》，形成了《医疗废物分类目录（2021年版）》。现印发给你们，请遵照执行。</w:t>
      </w:r>
    </w:p>
    <w:p>
      <w:pPr>
        <w:widowControl/>
        <w:rPr>
          <w:rFonts w:hint="eastAsia" w:ascii="仿宋" w:hAnsi="仿宋" w:eastAsia="仿宋" w:cs="宋体"/>
          <w:color w:val="484848"/>
          <w:kern w:val="0"/>
          <w:sz w:val="32"/>
          <w:szCs w:val="32"/>
        </w:rPr>
      </w:pPr>
      <w:r>
        <w:rPr>
          <w:rFonts w:hint="eastAsia" w:ascii="MS Mincho" w:hAnsi="MS Mincho" w:eastAsia="MS Mincho" w:cs="MS Mincho"/>
          <w:color w:val="484848"/>
          <w:kern w:val="0"/>
          <w:sz w:val="32"/>
          <w:szCs w:val="32"/>
        </w:rPr>
        <w:t> </w:t>
      </w:r>
    </w:p>
    <w:p>
      <w:pPr>
        <w:widowControl/>
        <w:rPr>
          <w:rFonts w:hint="eastAsia" w:ascii="仿宋" w:hAnsi="仿宋" w:eastAsia="仿宋" w:cs="宋体"/>
          <w:color w:val="484848"/>
          <w:kern w:val="0"/>
          <w:sz w:val="32"/>
          <w:szCs w:val="32"/>
        </w:rPr>
      </w:pPr>
      <w:r>
        <w:rPr>
          <w:rFonts w:hint="eastAsia" w:ascii="MS Mincho" w:hAnsi="MS Mincho" w:eastAsia="MS Mincho" w:cs="MS Mincho"/>
          <w:color w:val="484848"/>
          <w:kern w:val="0"/>
          <w:sz w:val="32"/>
          <w:szCs w:val="32"/>
        </w:rPr>
        <w:t> </w:t>
      </w:r>
    </w:p>
    <w:p>
      <w:pPr>
        <w:widowControl/>
        <w:jc w:val="right"/>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生态环境部</w:t>
      </w:r>
      <w:r>
        <w:rPr>
          <w:rFonts w:hint="eastAsia" w:ascii="MS Mincho" w:hAnsi="MS Mincho" w:eastAsia="MS Mincho" w:cs="MS Mincho"/>
          <w:color w:val="484848"/>
          <w:kern w:val="0"/>
          <w:sz w:val="32"/>
          <w:szCs w:val="32"/>
        </w:rPr>
        <w:t>            </w:t>
      </w:r>
      <w:r>
        <w:rPr>
          <w:rFonts w:hint="eastAsia" w:ascii="仿宋" w:hAnsi="仿宋" w:eastAsia="仿宋" w:cs="宋体"/>
          <w:color w:val="484848"/>
          <w:kern w:val="0"/>
          <w:sz w:val="32"/>
          <w:szCs w:val="32"/>
        </w:rPr>
        <w:t xml:space="preserve">国家卫生健康委 </w:t>
      </w:r>
    </w:p>
    <w:p>
      <w:pPr>
        <w:widowControl/>
        <w:jc w:val="right"/>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2021年11月25日</w:t>
      </w:r>
    </w:p>
    <w:p>
      <w:pPr>
        <w:widowControl/>
        <w:rPr>
          <w:rFonts w:hint="eastAsia" w:ascii="仿宋" w:hAnsi="仿宋" w:eastAsia="仿宋" w:cs="宋体"/>
          <w:color w:val="484848"/>
          <w:kern w:val="0"/>
          <w:sz w:val="32"/>
          <w:szCs w:val="32"/>
        </w:rPr>
      </w:pPr>
      <w:r>
        <w:rPr>
          <w:rFonts w:hint="eastAsia" w:ascii="MS Mincho" w:hAnsi="MS Mincho" w:eastAsia="MS Mincho" w:cs="MS Mincho"/>
          <w:color w:val="484848"/>
          <w:kern w:val="0"/>
          <w:sz w:val="32"/>
          <w:szCs w:val="32"/>
        </w:rPr>
        <w:t> </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（信息公开形式：主动公开）</w:t>
      </w:r>
    </w:p>
    <w:p>
      <w:pPr>
        <w:widowControl/>
        <w:rPr>
          <w:rFonts w:hint="eastAsia" w:ascii="MS Mincho" w:hAnsi="MS Mincho" w:eastAsia="MS Mincho" w:cs="MS Mincho"/>
          <w:color w:val="484848"/>
          <w:kern w:val="0"/>
          <w:sz w:val="32"/>
          <w:szCs w:val="32"/>
        </w:rPr>
      </w:pPr>
      <w:r>
        <w:rPr>
          <w:rFonts w:hint="eastAsia" w:ascii="MS Mincho" w:hAnsi="MS Mincho" w:eastAsia="MS Mincho" w:cs="MS Mincho"/>
          <w:color w:val="484848"/>
          <w:kern w:val="0"/>
          <w:sz w:val="32"/>
          <w:szCs w:val="32"/>
        </w:rPr>
        <w:t> </w:t>
      </w:r>
    </w:p>
    <w:p>
      <w:pPr>
        <w:widowControl/>
        <w:rPr>
          <w:rFonts w:hint="eastAsia" w:ascii="MS Mincho" w:hAnsi="MS Mincho" w:eastAsia="MS Mincho" w:cs="MS Mincho"/>
          <w:color w:val="484848"/>
          <w:kern w:val="0"/>
          <w:sz w:val="32"/>
          <w:szCs w:val="32"/>
        </w:rPr>
      </w:pPr>
    </w:p>
    <w:p>
      <w:pPr>
        <w:widowControl/>
        <w:rPr>
          <w:rFonts w:hint="eastAsia" w:ascii="MS Mincho" w:hAnsi="MS Mincho" w:eastAsia="MS Mincho" w:cs="MS Mincho"/>
          <w:color w:val="484848"/>
          <w:kern w:val="0"/>
          <w:sz w:val="32"/>
          <w:szCs w:val="32"/>
        </w:rPr>
      </w:pPr>
    </w:p>
    <w:p>
      <w:pPr>
        <w:widowControl/>
        <w:rPr>
          <w:rFonts w:hint="eastAsia" w:ascii="MS Mincho" w:hAnsi="MS Mincho" w:eastAsia="MS Mincho" w:cs="MS Mincho"/>
          <w:color w:val="484848"/>
          <w:kern w:val="0"/>
          <w:sz w:val="32"/>
          <w:szCs w:val="32"/>
        </w:rPr>
      </w:pP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rPr>
        <w:t>医疗废物分类目录</w:t>
      </w:r>
      <w:r>
        <w:rPr>
          <w:rFonts w:hint="eastAsia" w:ascii="微软雅黑" w:hAnsi="微软雅黑" w:eastAsia="微软雅黑" w:cs="宋体"/>
          <w:b/>
          <w:bCs/>
          <w:color w:val="484848"/>
          <w:kern w:val="0"/>
          <w:sz w:val="44"/>
          <w:szCs w:val="44"/>
        </w:rPr>
        <w:br w:type="textWrapping"/>
      </w:r>
      <w:r>
        <w:rPr>
          <w:rFonts w:hint="eastAsia" w:ascii="楷体" w:hAnsi="楷体" w:eastAsia="楷体" w:cs="宋体"/>
          <w:color w:val="484848"/>
          <w:kern w:val="0"/>
          <w:sz w:val="32"/>
          <w:szCs w:val="32"/>
        </w:rPr>
        <w:t>（2021年版）</w:t>
      </w:r>
    </w:p>
    <w:p>
      <w:pPr>
        <w:widowControl/>
        <w:rPr>
          <w:rFonts w:hint="eastAsia" w:ascii="仿宋" w:hAnsi="仿宋" w:eastAsia="仿宋" w:cs="宋体"/>
          <w:color w:val="484848"/>
          <w:kern w:val="0"/>
          <w:sz w:val="32"/>
          <w:szCs w:val="32"/>
        </w:rPr>
      </w:pPr>
      <w:r>
        <w:rPr>
          <w:rFonts w:hint="eastAsia" w:ascii="MS Mincho" w:hAnsi="MS Mincho" w:eastAsia="MS Mincho" w:cs="MS Mincho"/>
          <w:color w:val="484848"/>
          <w:kern w:val="0"/>
          <w:sz w:val="32"/>
          <w:szCs w:val="32"/>
        </w:rPr>
        <w:t> </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一、根据《中华人民共和国传染病防治法》《中华人民共和国固体废物污染环境防治法》《医疗废物管理条例》《医疗卫生机构医疗废物管理办法》《国家危险废物名录》等法律法规、部门规章的规定，制定本目录。本目录适用于各级各类医疗卫生机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医疗废物的分类收集应当根据其特性和处置方式进行，并与当地医疗废物处置的方式相衔接。在保证医疗安全的情况下，鼓励医疗卫生机构逐步减少使用含汞血压计和体温计，鼓励使用可复用的医疗器械、器具和用品替代一次性医疗器械、器具和用品，以实现源头减量。医疗废物分为感染性废物、损伤性废物、病理性废物、药物性废物和化学性废物，医疗废物分类目录见附表1。</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三、废弃的麻醉、精神、放射性、毒性等药品及其相关废物的分类与处置，按照国家其他有关法律、法规、标准和规定执行。</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四、患者截肢的肢体以及引产的死亡胎儿，纳入殡葬管理。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五、药物性废物和化学性废物可分别按照《国家危险废物名录》中HW03类和HW49类进行处置。</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六、列入本目录附表2医疗废物豁免管理清单中的医疗废物，在满足相应的条件时，可以在其所列的环节按照豁免内容规定实行豁免管理。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七、重大传染病疫情等突发事件产生的医疗废物，可按照县级以上人民政府确定的工作方案进行收集、贮存、运输和处置等。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八、本目录自发布之日起施行。2003 年10月10日原卫生部、原国家环保总局发布的《医疗废物分类目录》（卫医发〔2003〕287号）同时废止。</w:t>
      </w:r>
    </w:p>
    <w:p>
      <w:pPr>
        <w:widowControl/>
        <w:rPr>
          <w:rFonts w:hint="eastAsia" w:ascii="仿宋" w:hAnsi="仿宋" w:eastAsia="仿宋" w:cs="宋体"/>
          <w:color w:val="484848"/>
          <w:kern w:val="0"/>
          <w:sz w:val="32"/>
          <w:szCs w:val="32"/>
        </w:rPr>
      </w:pPr>
      <w:r>
        <w:rPr>
          <w:rFonts w:hint="eastAsia" w:ascii="MS Mincho" w:hAnsi="MS Mincho" w:eastAsia="MS Mincho" w:cs="MS Mincho"/>
          <w:color w:val="484848"/>
          <w:kern w:val="0"/>
          <w:sz w:val="32"/>
          <w:szCs w:val="32"/>
        </w:rPr>
        <w:t> </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附表1</w:t>
      </w:r>
    </w:p>
    <w:p>
      <w:pPr>
        <w:widowControl/>
        <w:rPr>
          <w:rFonts w:hint="eastAsia" w:ascii="仿宋" w:hAnsi="仿宋" w:eastAsia="仿宋" w:cs="宋体"/>
          <w:color w:val="484848"/>
          <w:kern w:val="0"/>
          <w:sz w:val="32"/>
          <w:szCs w:val="32"/>
        </w:rPr>
      </w:pPr>
      <w:r>
        <w:rPr>
          <w:rFonts w:hint="eastAsia" w:ascii="MS Mincho" w:hAnsi="MS Mincho" w:eastAsia="MS Mincho" w:cs="MS Mincho"/>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rPr>
        <w:t>医疗废物分类目录</w:t>
      </w:r>
    </w:p>
    <w:p>
      <w:pPr>
        <w:widowControl/>
        <w:jc w:val="center"/>
        <w:rPr>
          <w:rFonts w:hint="eastAsia" w:ascii="仿宋" w:hAnsi="仿宋" w:eastAsia="仿宋" w:cs="宋体"/>
          <w:color w:val="484848"/>
          <w:kern w:val="0"/>
          <w:sz w:val="32"/>
          <w:szCs w:val="32"/>
        </w:rPr>
      </w:pPr>
      <w:r>
        <w:rPr>
          <w:rFonts w:hint="eastAsia" w:ascii="MS Gothic" w:hAnsi="MS Gothic" w:eastAsia="MS Gothic" w:cs="MS Gothic"/>
          <w:b/>
          <w:bCs/>
          <w:color w:val="484848"/>
          <w:kern w:val="0"/>
          <w:sz w:val="44"/>
        </w:rPr>
        <w:t> </w:t>
      </w:r>
    </w:p>
    <w:tbl>
      <w:tblPr>
        <w:tblStyle w:val="4"/>
        <w:tblW w:w="0" w:type="auto"/>
        <w:jc w:val="center"/>
        <w:tblLayout w:type="autofit"/>
        <w:tblCellMar>
          <w:top w:w="0" w:type="dxa"/>
          <w:left w:w="0" w:type="dxa"/>
          <w:bottom w:w="0" w:type="dxa"/>
          <w:right w:w="0" w:type="dxa"/>
        </w:tblCellMar>
      </w:tblPr>
      <w:tblGrid>
        <w:gridCol w:w="1439"/>
        <w:gridCol w:w="1260"/>
        <w:gridCol w:w="3039"/>
        <w:gridCol w:w="2180"/>
      </w:tblGrid>
      <w:tr>
        <w:tblPrEx>
          <w:tblCellMar>
            <w:top w:w="0" w:type="dxa"/>
            <w:left w:w="0" w:type="dxa"/>
            <w:bottom w:w="0" w:type="dxa"/>
            <w:right w:w="0" w:type="dxa"/>
          </w:tblCellMar>
        </w:tblPrEx>
        <w:trPr>
          <w:trHeight w:val="494" w:hRule="atLeast"/>
          <w:jc w:val="center"/>
        </w:trPr>
        <w:tc>
          <w:tcPr>
            <w:tcW w:w="14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330" w:lineRule="atLeast"/>
              <w:jc w:val="center"/>
              <w:rPr>
                <w:rFonts w:ascii="微软雅黑" w:hAnsi="微软雅黑" w:eastAsia="微软雅黑" w:cs="宋体"/>
                <w:color w:val="484848"/>
                <w:kern w:val="0"/>
                <w:sz w:val="24"/>
                <w:szCs w:val="24"/>
              </w:rPr>
            </w:pPr>
            <w:r>
              <w:rPr>
                <w:rFonts w:hint="eastAsia" w:ascii="宋体" w:hAnsi="宋体" w:eastAsia="宋体" w:cs="宋体"/>
                <w:b/>
                <w:bCs/>
                <w:color w:val="484848"/>
                <w:kern w:val="0"/>
                <w:sz w:val="30"/>
                <w:szCs w:val="30"/>
              </w:rPr>
              <w:t>类别</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spacing w:line="330" w:lineRule="atLeast"/>
              <w:jc w:val="center"/>
              <w:rPr>
                <w:rFonts w:ascii="微软雅黑" w:hAnsi="微软雅黑" w:eastAsia="微软雅黑" w:cs="宋体"/>
                <w:color w:val="484848"/>
                <w:kern w:val="0"/>
                <w:sz w:val="24"/>
                <w:szCs w:val="24"/>
              </w:rPr>
            </w:pPr>
            <w:r>
              <w:rPr>
                <w:rFonts w:hint="eastAsia" w:ascii="宋体" w:hAnsi="宋体" w:eastAsia="宋体" w:cs="宋体"/>
                <w:b/>
                <w:bCs/>
                <w:color w:val="484848"/>
                <w:kern w:val="0"/>
                <w:sz w:val="30"/>
                <w:szCs w:val="30"/>
              </w:rPr>
              <w:t>特征</w:t>
            </w:r>
          </w:p>
        </w:tc>
        <w:tc>
          <w:tcPr>
            <w:tcW w:w="30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spacing w:line="330" w:lineRule="atLeast"/>
              <w:jc w:val="center"/>
              <w:rPr>
                <w:rFonts w:ascii="微软雅黑" w:hAnsi="微软雅黑" w:eastAsia="微软雅黑" w:cs="宋体"/>
                <w:color w:val="484848"/>
                <w:kern w:val="0"/>
                <w:sz w:val="24"/>
                <w:szCs w:val="24"/>
              </w:rPr>
            </w:pPr>
            <w:r>
              <w:rPr>
                <w:rFonts w:hint="eastAsia" w:ascii="宋体" w:hAnsi="宋体" w:eastAsia="宋体" w:cs="宋体"/>
                <w:b/>
                <w:bCs/>
                <w:color w:val="484848"/>
                <w:kern w:val="0"/>
                <w:sz w:val="30"/>
                <w:szCs w:val="30"/>
              </w:rPr>
              <w:t>常见组分或废物名称</w:t>
            </w:r>
          </w:p>
        </w:tc>
        <w:tc>
          <w:tcPr>
            <w:tcW w:w="21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spacing w:line="330" w:lineRule="atLeast"/>
              <w:jc w:val="center"/>
              <w:rPr>
                <w:rFonts w:ascii="微软雅黑" w:hAnsi="微软雅黑" w:eastAsia="微软雅黑" w:cs="宋体"/>
                <w:color w:val="484848"/>
                <w:kern w:val="0"/>
                <w:sz w:val="24"/>
                <w:szCs w:val="24"/>
              </w:rPr>
            </w:pPr>
            <w:r>
              <w:rPr>
                <w:rFonts w:hint="eastAsia" w:ascii="宋体" w:hAnsi="宋体" w:eastAsia="宋体" w:cs="宋体"/>
                <w:b/>
                <w:bCs/>
                <w:color w:val="484848"/>
                <w:kern w:val="0"/>
                <w:sz w:val="30"/>
                <w:szCs w:val="30"/>
              </w:rPr>
              <w:t>收集方式</w:t>
            </w:r>
          </w:p>
        </w:tc>
      </w:tr>
      <w:tr>
        <w:tblPrEx>
          <w:tblCellMar>
            <w:top w:w="0" w:type="dxa"/>
            <w:left w:w="0" w:type="dxa"/>
            <w:bottom w:w="0" w:type="dxa"/>
            <w:right w:w="0" w:type="dxa"/>
          </w:tblCellMar>
        </w:tblPrEx>
        <w:trPr>
          <w:jc w:val="center"/>
        </w:trPr>
        <w:tc>
          <w:tcPr>
            <w:tcW w:w="14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感染性废物</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携带病原微生物具有引发感染性疾病传播危险的医疗废物。</w:t>
            </w:r>
          </w:p>
          <w:p>
            <w:pPr>
              <w:widowControl/>
              <w:spacing w:line="251" w:lineRule="atLeast"/>
              <w:jc w:val="left"/>
              <w:rPr>
                <w:rFonts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tc>
        <w:tc>
          <w:tcPr>
            <w:tcW w:w="30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1.被患者血液、体液、排泄物等污染的除锐器以外的废物；</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hint="eastAsia"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2.使用后废弃的一次性使用医疗器械，如注射器、输液器、透析器等；</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hint="eastAsia"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3.病原微生物实验室废弃的病原体培养基、标本，菌种和毒种保存液及其容器；其他实验室及科室废弃的血液、血清、分泌物等标本和容器；</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4.隔离传染病患者或者疑似传染病患者产生的废弃物。</w:t>
            </w:r>
          </w:p>
        </w:tc>
        <w:tc>
          <w:tcPr>
            <w:tcW w:w="21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1.收集于符合《医疗废物专用包装袋、容器和警示标志标准》（HJ421）的医疗废物包装袋中；</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hint="eastAsia"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2.病原微生物实验室废弃的病原体培养基、标本，菌种和毒种保存液及其容器，应在产生地点进行压力蒸汽灭菌或者使用其他方式消毒，然后按感染性废物收集处理；</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3.隔离传染病患者或者疑似传染病患者产生的医疗废物应当使用双层医疗废物包装袋盛装。</w:t>
            </w:r>
          </w:p>
        </w:tc>
      </w:tr>
      <w:tr>
        <w:tblPrEx>
          <w:tblCellMar>
            <w:top w:w="0" w:type="dxa"/>
            <w:left w:w="0" w:type="dxa"/>
            <w:bottom w:w="0" w:type="dxa"/>
            <w:right w:w="0" w:type="dxa"/>
          </w:tblCellMar>
        </w:tblPrEx>
        <w:trPr>
          <w:jc w:val="center"/>
        </w:trPr>
        <w:tc>
          <w:tcPr>
            <w:tcW w:w="14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损伤性废物</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能够刺伤或者割伤人体的废弃的医用锐器。</w:t>
            </w:r>
          </w:p>
        </w:tc>
        <w:tc>
          <w:tcPr>
            <w:tcW w:w="30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1.废弃的金属类锐器，如针头、缝合针、针灸针、探针、穿刺针、解剖刀、手术刀、手术锯、备皮刀、钢钉和导丝等；</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hint="eastAsia"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2.废弃的玻璃类锐器，如盖玻片、载玻片、玻璃安瓿等；</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3.废弃的其他材质类锐器。</w:t>
            </w:r>
          </w:p>
        </w:tc>
        <w:tc>
          <w:tcPr>
            <w:tcW w:w="218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1.收集于符合《医疗废物专用包装袋、容器和警示标志标准》（HJ421）的利器盒中；</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2.利器盒达到3/4满时，应当封闭严密，按流程运送、贮存。</w:t>
            </w:r>
          </w:p>
        </w:tc>
      </w:tr>
      <w:tr>
        <w:tblPrEx>
          <w:tblCellMar>
            <w:top w:w="0" w:type="dxa"/>
            <w:left w:w="0" w:type="dxa"/>
            <w:bottom w:w="0" w:type="dxa"/>
            <w:right w:w="0" w:type="dxa"/>
          </w:tblCellMar>
        </w:tblPrEx>
        <w:trPr>
          <w:trHeight w:val="90" w:hRule="atLeast"/>
          <w:jc w:val="center"/>
        </w:trPr>
        <w:tc>
          <w:tcPr>
            <w:tcW w:w="14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病理性废物</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诊疗过程中产生的人体废弃物</w:t>
            </w:r>
            <w:r>
              <w:rPr>
                <w:rFonts w:hint="eastAsia" w:ascii="仿宋_GB2312" w:hAnsi="微软雅黑" w:eastAsia="仿宋_GB2312" w:cs="宋体"/>
                <w:color w:val="0C0C0C"/>
                <w:kern w:val="0"/>
                <w:sz w:val="22"/>
              </w:rPr>
              <w:t>和医学</w:t>
            </w:r>
            <w:r>
              <w:rPr>
                <w:rFonts w:hint="eastAsia" w:ascii="仿宋_GB2312" w:hAnsi="微软雅黑" w:eastAsia="仿宋_GB2312" w:cs="宋体"/>
                <w:color w:val="484848"/>
                <w:kern w:val="0"/>
                <w:sz w:val="22"/>
              </w:rPr>
              <w:t>实验动物尸体等。</w:t>
            </w:r>
          </w:p>
        </w:tc>
        <w:tc>
          <w:tcPr>
            <w:tcW w:w="30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bookmarkStart w:id="0" w:name="_Hlk54893226"/>
            <w:r>
              <w:rPr>
                <w:rFonts w:hint="eastAsia" w:ascii="微软雅黑" w:hAnsi="微软雅黑" w:eastAsia="微软雅黑" w:cs="宋体"/>
                <w:color w:val="484848"/>
                <w:kern w:val="0"/>
                <w:sz w:val="22"/>
              </w:rPr>
              <w:t>1.</w:t>
            </w:r>
            <w:r>
              <w:rPr>
                <w:rFonts w:hint="eastAsia" w:ascii="仿宋_GB2312" w:hAnsi="微软雅黑" w:eastAsia="仿宋_GB2312" w:cs="宋体"/>
                <w:color w:val="484848"/>
                <w:kern w:val="0"/>
                <w:sz w:val="22"/>
              </w:rPr>
              <w:t>手术及其他医学服务过程中产生的废弃的人体组织、器官</w:t>
            </w:r>
            <w:bookmarkEnd w:id="0"/>
            <w:r>
              <w:rPr>
                <w:rFonts w:hint="eastAsia" w:ascii="仿宋_GB2312" w:hAnsi="微软雅黑" w:eastAsia="仿宋_GB2312" w:cs="宋体"/>
                <w:color w:val="484848"/>
                <w:kern w:val="0"/>
                <w:sz w:val="22"/>
              </w:rPr>
              <w:t>；</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hint="eastAsia"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2.病理切片后废弃的人体组织、病理蜡块；</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hint="eastAsia"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3.废弃的医学实验动物的组织和尸体；</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hint="eastAsia"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4.16周胎龄以下或重量不足500克的胚胎组织等；</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90"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5. 确诊、疑似传染病或携带传染病病原体的产妇的胎盘。</w:t>
            </w:r>
          </w:p>
        </w:tc>
        <w:tc>
          <w:tcPr>
            <w:tcW w:w="21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1.收集于符合《医疗废物专用包装袋、容器和警示标志标准》（HJ421）的医疗废物包装袋中；</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hint="eastAsia"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2.确诊、疑似传染病产妇或携带传染病病原体的产妇的胎盘应使用双层医疗废物包装袋盛装；</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90"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3.可进行防腐或者低温保存。</w:t>
            </w:r>
          </w:p>
        </w:tc>
      </w:tr>
      <w:tr>
        <w:tblPrEx>
          <w:tblCellMar>
            <w:top w:w="0" w:type="dxa"/>
            <w:left w:w="0" w:type="dxa"/>
            <w:bottom w:w="0" w:type="dxa"/>
            <w:right w:w="0" w:type="dxa"/>
          </w:tblCellMar>
        </w:tblPrEx>
        <w:trPr>
          <w:trHeight w:val="2837" w:hRule="atLeast"/>
          <w:jc w:val="center"/>
        </w:trPr>
        <w:tc>
          <w:tcPr>
            <w:tcW w:w="14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药物性废物</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过期、淘汰、变质或者被污染的废弃的药物。</w:t>
            </w:r>
          </w:p>
        </w:tc>
        <w:tc>
          <w:tcPr>
            <w:tcW w:w="30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1.废弃的一般性药物；</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hint="eastAsia"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2.废弃的细胞毒性药物和遗传毒性药物；</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3.废弃的疫苗及血液制品。</w:t>
            </w:r>
          </w:p>
        </w:tc>
        <w:tc>
          <w:tcPr>
            <w:tcW w:w="21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1.少量的药物性废物可以并入感染性废物中，但应在标签中注明；</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2.批量废弃的药物性废物，收集后应交由具备相应资质的医疗废物处置单位或者危险废物处置单位等进行处置。</w:t>
            </w:r>
          </w:p>
        </w:tc>
      </w:tr>
      <w:tr>
        <w:tblPrEx>
          <w:tblCellMar>
            <w:top w:w="0" w:type="dxa"/>
            <w:left w:w="0" w:type="dxa"/>
            <w:bottom w:w="0" w:type="dxa"/>
            <w:right w:w="0" w:type="dxa"/>
          </w:tblCellMar>
        </w:tblPrEx>
        <w:trPr>
          <w:trHeight w:val="1944" w:hRule="atLeast"/>
          <w:jc w:val="center"/>
        </w:trPr>
        <w:tc>
          <w:tcPr>
            <w:tcW w:w="14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化学性废物</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具有毒性、腐蚀性、易燃性、反应性的废弃的化学物品。</w:t>
            </w:r>
          </w:p>
        </w:tc>
        <w:tc>
          <w:tcPr>
            <w:tcW w:w="30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列入《国家危险废物名录》中的废弃危险化学品，如甲醛、二甲苯等；非特定行业来源的危险废物，如含汞血压计、含汞体温计，废弃的牙科汞合金材料及其残余物等。</w:t>
            </w:r>
          </w:p>
        </w:tc>
        <w:tc>
          <w:tcPr>
            <w:tcW w:w="21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1" w:lineRule="atLeas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1.收集于容器中，粘贴标签并注明主要成分；</w:t>
            </w:r>
          </w:p>
          <w:p>
            <w:pPr>
              <w:widowControl/>
              <w:spacing w:line="251" w:lineRule="atLeas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2.收集后应交由具备相应资质的医疗废物处置单位或者危险废物处置单位等进行处置。</w:t>
            </w:r>
          </w:p>
        </w:tc>
      </w:tr>
    </w:tbl>
    <w:p>
      <w:pPr>
        <w:widowControl/>
        <w:rPr>
          <w:rFonts w:hint="eastAsia" w:ascii="仿宋" w:hAnsi="仿宋" w:eastAsia="仿宋" w:cs="宋体"/>
          <w:color w:val="484848"/>
          <w:kern w:val="0"/>
          <w:sz w:val="32"/>
          <w:szCs w:val="32"/>
        </w:rPr>
      </w:pPr>
      <w:r>
        <w:rPr>
          <w:rFonts w:hint="eastAsia" w:ascii="MS Mincho" w:hAnsi="MS Mincho" w:eastAsia="MS Mincho" w:cs="MS Mincho"/>
          <w:color w:val="484848"/>
          <w:kern w:val="0"/>
          <w:sz w:val="32"/>
          <w:szCs w:val="32"/>
        </w:rPr>
        <w:t> </w:t>
      </w:r>
    </w:p>
    <w:p>
      <w:pPr>
        <w:widowControl/>
        <w:rPr>
          <w:rFonts w:hint="eastAsia" w:ascii="仿宋" w:hAnsi="仿宋" w:eastAsia="仿宋" w:cs="宋体"/>
          <w:color w:val="484848"/>
          <w:kern w:val="0"/>
          <w:sz w:val="32"/>
          <w:szCs w:val="32"/>
        </w:rPr>
      </w:pPr>
      <w:r>
        <w:rPr>
          <w:rFonts w:hint="eastAsia" w:ascii="微软雅黑" w:hAnsi="微软雅黑" w:eastAsia="微软雅黑" w:cs="宋体"/>
          <w:color w:val="484848"/>
          <w:kern w:val="0"/>
          <w:sz w:val="28"/>
          <w:szCs w:val="28"/>
        </w:rPr>
        <w:t>　　说明：因以下废弃物不属于医疗废物，故未列入此表中。如：非传染病区使用或者未用于传染病患者、疑似传染病患者以及采取隔离措施的其他患者的输液瓶（袋），盛装消毒剂、透析液的空容器，一次性医用外包装物，废弃的中草药与中草药煎制后的残渣，盛装药物的药杯，尿杯，纸巾、湿巾、尿不湿、卫生巾、护理垫等一次性卫生用品，医用织物以及使用后的大、小便器等。居民日常生活中废弃的一次性口罩不属于医疗废物。</w:t>
      </w:r>
    </w:p>
    <w:p>
      <w:pPr>
        <w:widowControl/>
        <w:rPr>
          <w:rFonts w:hint="eastAsia" w:ascii="仿宋" w:hAnsi="仿宋" w:eastAsia="仿宋" w:cs="宋体"/>
          <w:color w:val="484848"/>
          <w:kern w:val="0"/>
          <w:sz w:val="32"/>
          <w:szCs w:val="32"/>
        </w:rPr>
      </w:pPr>
      <w:r>
        <w:rPr>
          <w:rFonts w:hint="eastAsia" w:ascii="MS Mincho" w:hAnsi="MS Mincho" w:eastAsia="MS Mincho" w:cs="MS Mincho"/>
          <w:color w:val="484848"/>
          <w:kern w:val="0"/>
          <w:sz w:val="32"/>
          <w:szCs w:val="32"/>
        </w:rPr>
        <w:t> </w:t>
      </w:r>
    </w:p>
    <w:p>
      <w:pPr>
        <w:widowControl/>
        <w:rPr>
          <w:rFonts w:hint="eastAsia" w:ascii="仿宋" w:hAnsi="仿宋" w:eastAsia="仿宋" w:cs="宋体"/>
          <w:color w:val="484848"/>
          <w:kern w:val="0"/>
          <w:sz w:val="32"/>
          <w:szCs w:val="32"/>
        </w:rPr>
      </w:pPr>
    </w:p>
    <w:p>
      <w:pPr>
        <w:widowControl/>
        <w:rPr>
          <w:rFonts w:hint="eastAsia" w:ascii="仿宋" w:hAnsi="仿宋" w:eastAsia="仿宋" w:cs="宋体"/>
          <w:color w:val="484848"/>
          <w:kern w:val="0"/>
          <w:sz w:val="32"/>
          <w:szCs w:val="32"/>
        </w:rPr>
      </w:pPr>
    </w:p>
    <w:p>
      <w:pPr>
        <w:widowControl/>
        <w:rPr>
          <w:rFonts w:hint="eastAsia" w:ascii="仿宋" w:hAnsi="仿宋" w:eastAsia="仿宋" w:cs="宋体"/>
          <w:color w:val="484848"/>
          <w:kern w:val="0"/>
          <w:sz w:val="32"/>
          <w:szCs w:val="32"/>
        </w:rPr>
      </w:pPr>
    </w:p>
    <w:p>
      <w:pPr>
        <w:widowControl/>
        <w:rPr>
          <w:rFonts w:hint="eastAsia" w:ascii="仿宋" w:hAnsi="仿宋" w:eastAsia="仿宋" w:cs="宋体"/>
          <w:color w:val="484848"/>
          <w:kern w:val="0"/>
          <w:sz w:val="32"/>
          <w:szCs w:val="32"/>
        </w:rPr>
      </w:pPr>
    </w:p>
    <w:p>
      <w:pPr>
        <w:widowControl/>
        <w:rPr>
          <w:rFonts w:hint="eastAsia" w:ascii="仿宋" w:hAnsi="仿宋" w:eastAsia="仿宋" w:cs="宋体"/>
          <w:color w:val="484848"/>
          <w:kern w:val="0"/>
          <w:sz w:val="32"/>
          <w:szCs w:val="32"/>
        </w:rPr>
      </w:pPr>
    </w:p>
    <w:p>
      <w:pPr>
        <w:widowControl/>
        <w:rPr>
          <w:rFonts w:hint="eastAsia" w:ascii="仿宋" w:hAnsi="仿宋" w:eastAsia="仿宋" w:cs="宋体"/>
          <w:color w:val="484848"/>
          <w:kern w:val="0"/>
          <w:sz w:val="32"/>
          <w:szCs w:val="32"/>
        </w:rPr>
      </w:pPr>
    </w:p>
    <w:p>
      <w:pPr>
        <w:widowControl/>
        <w:rPr>
          <w:rFonts w:hint="eastAsia" w:ascii="仿宋" w:hAnsi="仿宋" w:eastAsia="仿宋" w:cs="宋体"/>
          <w:color w:val="484848"/>
          <w:kern w:val="0"/>
          <w:sz w:val="32"/>
          <w:szCs w:val="32"/>
        </w:rPr>
      </w:pPr>
    </w:p>
    <w:p>
      <w:pPr>
        <w:widowControl/>
        <w:rPr>
          <w:rFonts w:hint="eastAsia" w:ascii="仿宋" w:hAnsi="仿宋" w:eastAsia="仿宋" w:cs="宋体"/>
          <w:color w:val="484848"/>
          <w:kern w:val="0"/>
          <w:sz w:val="32"/>
          <w:szCs w:val="32"/>
        </w:rPr>
      </w:pP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附表2</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rPr>
        <w:t>医疗废物豁免管理清单</w:t>
      </w:r>
    </w:p>
    <w:p>
      <w:pPr>
        <w:widowControl/>
        <w:jc w:val="center"/>
        <w:rPr>
          <w:rFonts w:hint="eastAsia" w:ascii="仿宋" w:hAnsi="仿宋" w:eastAsia="仿宋" w:cs="宋体"/>
          <w:color w:val="484848"/>
          <w:kern w:val="0"/>
          <w:sz w:val="32"/>
          <w:szCs w:val="32"/>
        </w:rPr>
      </w:pPr>
      <w:r>
        <w:rPr>
          <w:rFonts w:hint="eastAsia" w:ascii="MS Gothic" w:hAnsi="MS Gothic" w:eastAsia="MS Gothic" w:cs="MS Gothic"/>
          <w:b/>
          <w:bCs/>
          <w:color w:val="484848"/>
          <w:kern w:val="0"/>
          <w:sz w:val="44"/>
        </w:rPr>
        <w:t> </w:t>
      </w:r>
    </w:p>
    <w:tbl>
      <w:tblPr>
        <w:tblStyle w:val="4"/>
        <w:tblW w:w="0" w:type="auto"/>
        <w:jc w:val="center"/>
        <w:tblLayout w:type="autofit"/>
        <w:tblCellMar>
          <w:top w:w="0" w:type="dxa"/>
          <w:left w:w="0" w:type="dxa"/>
          <w:bottom w:w="0" w:type="dxa"/>
          <w:right w:w="0" w:type="dxa"/>
        </w:tblCellMar>
      </w:tblPr>
      <w:tblGrid>
        <w:gridCol w:w="837"/>
        <w:gridCol w:w="1250"/>
        <w:gridCol w:w="1577"/>
        <w:gridCol w:w="2599"/>
        <w:gridCol w:w="1624"/>
      </w:tblGrid>
      <w:tr>
        <w:tblPrEx>
          <w:tblCellMar>
            <w:top w:w="0" w:type="dxa"/>
            <w:left w:w="0" w:type="dxa"/>
            <w:bottom w:w="0" w:type="dxa"/>
            <w:right w:w="0" w:type="dxa"/>
          </w:tblCellMar>
        </w:tblPrEx>
        <w:trPr>
          <w:jc w:val="center"/>
        </w:trPr>
        <w:tc>
          <w:tcPr>
            <w:tcW w:w="8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251" w:lineRule="atLeast"/>
              <w:jc w:val="center"/>
              <w:rPr>
                <w:rFonts w:ascii="微软雅黑" w:hAnsi="微软雅黑" w:eastAsia="微软雅黑" w:cs="宋体"/>
                <w:color w:val="484848"/>
                <w:kern w:val="0"/>
                <w:sz w:val="24"/>
                <w:szCs w:val="24"/>
              </w:rPr>
            </w:pPr>
            <w:r>
              <w:rPr>
                <w:rFonts w:hint="eastAsia" w:ascii="宋体" w:hAnsi="宋体" w:eastAsia="宋体" w:cs="宋体"/>
                <w:b/>
                <w:bCs/>
                <w:color w:val="484848"/>
                <w:kern w:val="0"/>
                <w:sz w:val="24"/>
                <w:szCs w:val="24"/>
              </w:rPr>
              <w:t>序号</w:t>
            </w:r>
          </w:p>
        </w:tc>
        <w:tc>
          <w:tcPr>
            <w:tcW w:w="125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51" w:lineRule="atLeast"/>
              <w:jc w:val="center"/>
              <w:rPr>
                <w:rFonts w:ascii="微软雅黑" w:hAnsi="微软雅黑" w:eastAsia="微软雅黑" w:cs="宋体"/>
                <w:color w:val="484848"/>
                <w:kern w:val="0"/>
                <w:sz w:val="24"/>
                <w:szCs w:val="24"/>
              </w:rPr>
            </w:pPr>
            <w:r>
              <w:rPr>
                <w:rFonts w:hint="eastAsia" w:ascii="宋体" w:hAnsi="宋体" w:eastAsia="宋体" w:cs="宋体"/>
                <w:b/>
                <w:bCs/>
                <w:color w:val="484848"/>
                <w:kern w:val="0"/>
                <w:sz w:val="24"/>
                <w:szCs w:val="24"/>
              </w:rPr>
              <w:t>名称</w:t>
            </w:r>
          </w:p>
        </w:tc>
        <w:tc>
          <w:tcPr>
            <w:tcW w:w="157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51" w:lineRule="atLeast"/>
              <w:jc w:val="center"/>
              <w:rPr>
                <w:rFonts w:ascii="微软雅黑" w:hAnsi="微软雅黑" w:eastAsia="微软雅黑" w:cs="宋体"/>
                <w:color w:val="484848"/>
                <w:kern w:val="0"/>
                <w:sz w:val="24"/>
                <w:szCs w:val="24"/>
              </w:rPr>
            </w:pPr>
            <w:r>
              <w:rPr>
                <w:rFonts w:hint="eastAsia" w:ascii="宋体" w:hAnsi="宋体" w:eastAsia="宋体" w:cs="宋体"/>
                <w:b/>
                <w:bCs/>
                <w:color w:val="484848"/>
                <w:kern w:val="0"/>
                <w:sz w:val="24"/>
                <w:szCs w:val="24"/>
              </w:rPr>
              <w:t>豁免环节</w:t>
            </w:r>
          </w:p>
        </w:tc>
        <w:tc>
          <w:tcPr>
            <w:tcW w:w="259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51" w:lineRule="atLeast"/>
              <w:jc w:val="center"/>
              <w:rPr>
                <w:rFonts w:ascii="微软雅黑" w:hAnsi="微软雅黑" w:eastAsia="微软雅黑" w:cs="宋体"/>
                <w:color w:val="484848"/>
                <w:kern w:val="0"/>
                <w:sz w:val="24"/>
                <w:szCs w:val="24"/>
              </w:rPr>
            </w:pPr>
            <w:r>
              <w:rPr>
                <w:rFonts w:hint="eastAsia" w:ascii="宋体" w:hAnsi="宋体" w:eastAsia="宋体" w:cs="宋体"/>
                <w:b/>
                <w:bCs/>
                <w:color w:val="484848"/>
                <w:kern w:val="0"/>
                <w:sz w:val="24"/>
                <w:szCs w:val="24"/>
              </w:rPr>
              <w:t>豁免条件</w:t>
            </w:r>
          </w:p>
        </w:tc>
        <w:tc>
          <w:tcPr>
            <w:tcW w:w="162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51" w:lineRule="atLeast"/>
              <w:jc w:val="center"/>
              <w:rPr>
                <w:rFonts w:ascii="微软雅黑" w:hAnsi="微软雅黑" w:eastAsia="微软雅黑" w:cs="宋体"/>
                <w:color w:val="484848"/>
                <w:kern w:val="0"/>
                <w:sz w:val="24"/>
                <w:szCs w:val="24"/>
              </w:rPr>
            </w:pPr>
            <w:r>
              <w:rPr>
                <w:rFonts w:hint="eastAsia" w:ascii="宋体" w:hAnsi="宋体" w:eastAsia="宋体" w:cs="宋体"/>
                <w:b/>
                <w:bCs/>
                <w:color w:val="484848"/>
                <w:kern w:val="0"/>
                <w:sz w:val="24"/>
                <w:szCs w:val="24"/>
              </w:rPr>
              <w:t>豁免内容</w:t>
            </w:r>
          </w:p>
        </w:tc>
      </w:tr>
      <w:tr>
        <w:tblPrEx>
          <w:tblCellMar>
            <w:top w:w="0" w:type="dxa"/>
            <w:left w:w="0" w:type="dxa"/>
            <w:bottom w:w="0" w:type="dxa"/>
            <w:right w:w="0" w:type="dxa"/>
          </w:tblCellMar>
        </w:tblPrEx>
        <w:trPr>
          <w:trHeight w:val="3068" w:hRule="atLeast"/>
          <w:jc w:val="center"/>
        </w:trPr>
        <w:tc>
          <w:tcPr>
            <w:tcW w:w="83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51" w:lineRule="atLeast"/>
              <w:jc w:val="center"/>
              <w:rPr>
                <w:rFonts w:ascii="微软雅黑" w:hAnsi="微软雅黑" w:eastAsia="微软雅黑" w:cs="宋体"/>
                <w:color w:val="auto"/>
                <w:kern w:val="0"/>
                <w:sz w:val="24"/>
                <w:szCs w:val="24"/>
              </w:rPr>
            </w:pPr>
            <w:r>
              <w:rPr>
                <w:rFonts w:hint="eastAsia" w:ascii="仿宋_GB2312" w:hAnsi="微软雅黑" w:eastAsia="仿宋_GB2312" w:cs="宋体"/>
                <w:color w:val="auto"/>
                <w:kern w:val="0"/>
                <w:sz w:val="22"/>
              </w:rPr>
              <w:t>1</w:t>
            </w:r>
          </w:p>
        </w:tc>
        <w:tc>
          <w:tcPr>
            <w:tcW w:w="12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auto"/>
                <w:kern w:val="0"/>
                <w:sz w:val="24"/>
                <w:szCs w:val="24"/>
              </w:rPr>
            </w:pPr>
            <w:r>
              <w:rPr>
                <w:rFonts w:hint="eastAsia" w:ascii="仿宋_GB2312" w:hAnsi="微软雅黑" w:eastAsia="仿宋_GB2312" w:cs="宋体"/>
                <w:color w:val="auto"/>
                <w:kern w:val="0"/>
                <w:sz w:val="22"/>
              </w:rPr>
              <w:t>密封药瓶、安瓿瓶等玻璃药瓶</w:t>
            </w:r>
          </w:p>
        </w:tc>
        <w:tc>
          <w:tcPr>
            <w:tcW w:w="157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auto"/>
                <w:kern w:val="0"/>
                <w:sz w:val="24"/>
                <w:szCs w:val="24"/>
              </w:rPr>
            </w:pPr>
            <w:r>
              <w:rPr>
                <w:rFonts w:hint="eastAsia" w:ascii="仿宋_GB2312" w:hAnsi="微软雅黑" w:eastAsia="仿宋_GB2312" w:cs="宋体"/>
                <w:color w:val="auto"/>
                <w:kern w:val="0"/>
                <w:sz w:val="22"/>
              </w:rPr>
              <w:t>收集</w:t>
            </w:r>
          </w:p>
          <w:p>
            <w:pPr>
              <w:widowControl/>
              <w:spacing w:line="251" w:lineRule="atLeast"/>
              <w:jc w:val="left"/>
              <w:rPr>
                <w:rFonts w:ascii="微软雅黑" w:hAnsi="微软雅黑" w:eastAsia="微软雅黑" w:cs="宋体"/>
                <w:color w:val="auto"/>
                <w:kern w:val="0"/>
                <w:sz w:val="24"/>
                <w:szCs w:val="24"/>
              </w:rPr>
            </w:pPr>
            <w:r>
              <w:rPr>
                <w:rFonts w:hint="eastAsia" w:ascii="MS Mincho" w:hAnsi="MS Mincho" w:eastAsia="MS Mincho" w:cs="MS Mincho"/>
                <w:color w:val="auto"/>
                <w:kern w:val="0"/>
                <w:sz w:val="22"/>
                <w:shd w:val="clear" w:color="auto" w:fill="D9D9D9"/>
              </w:rPr>
              <w:t> </w:t>
            </w:r>
          </w:p>
        </w:tc>
        <w:tc>
          <w:tcPr>
            <w:tcW w:w="259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auto"/>
                <w:kern w:val="0"/>
                <w:sz w:val="24"/>
                <w:szCs w:val="24"/>
              </w:rPr>
            </w:pPr>
            <w:r>
              <w:rPr>
                <w:rFonts w:hint="eastAsia" w:ascii="仿宋_GB2312" w:hAnsi="微软雅黑" w:eastAsia="仿宋_GB2312" w:cs="宋体"/>
                <w:color w:val="auto"/>
                <w:kern w:val="0"/>
                <w:sz w:val="22"/>
              </w:rPr>
              <w:t>盛装容器应满足防渗漏、防刺破要求，并有医疗废物标识或者外加一层医疗废物包装袋。标签为损伤性废物，并注明：密封药瓶或者安瓿瓶。</w:t>
            </w:r>
          </w:p>
        </w:tc>
        <w:tc>
          <w:tcPr>
            <w:tcW w:w="162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auto"/>
                <w:kern w:val="0"/>
                <w:sz w:val="24"/>
                <w:szCs w:val="24"/>
              </w:rPr>
            </w:pPr>
            <w:r>
              <w:rPr>
                <w:rFonts w:hint="eastAsia" w:ascii="仿宋_GB2312" w:hAnsi="微软雅黑" w:eastAsia="仿宋_GB2312" w:cs="宋体"/>
                <w:color w:val="auto"/>
                <w:kern w:val="0"/>
                <w:sz w:val="22"/>
              </w:rPr>
              <w:t>可不使用利器盒收集。</w:t>
            </w:r>
          </w:p>
          <w:p>
            <w:pPr>
              <w:widowControl/>
              <w:spacing w:line="251" w:lineRule="atLeast"/>
              <w:jc w:val="left"/>
              <w:rPr>
                <w:rFonts w:ascii="微软雅黑" w:hAnsi="微软雅黑" w:eastAsia="微软雅黑" w:cs="宋体"/>
                <w:color w:val="auto"/>
                <w:kern w:val="0"/>
                <w:sz w:val="24"/>
                <w:szCs w:val="24"/>
              </w:rPr>
            </w:pPr>
            <w:r>
              <w:rPr>
                <w:rFonts w:hint="eastAsia" w:ascii="MS Mincho" w:hAnsi="MS Mincho" w:eastAsia="MS Mincho" w:cs="MS Mincho"/>
                <w:color w:val="auto"/>
                <w:kern w:val="0"/>
                <w:sz w:val="22"/>
                <w:shd w:val="clear" w:color="auto" w:fill="D9D9D9"/>
              </w:rPr>
              <w:t> </w:t>
            </w:r>
          </w:p>
        </w:tc>
      </w:tr>
      <w:tr>
        <w:tblPrEx>
          <w:tblCellMar>
            <w:top w:w="0" w:type="dxa"/>
            <w:left w:w="0" w:type="dxa"/>
            <w:bottom w:w="0" w:type="dxa"/>
            <w:right w:w="0" w:type="dxa"/>
          </w:tblCellMar>
        </w:tblPrEx>
        <w:trPr>
          <w:jc w:val="center"/>
        </w:trPr>
        <w:tc>
          <w:tcPr>
            <w:tcW w:w="83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51" w:lineRule="atLeast"/>
              <w:jc w:val="center"/>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2</w:t>
            </w:r>
          </w:p>
        </w:tc>
        <w:tc>
          <w:tcPr>
            <w:tcW w:w="12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导丝</w:t>
            </w:r>
          </w:p>
        </w:tc>
        <w:tc>
          <w:tcPr>
            <w:tcW w:w="157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收集</w:t>
            </w:r>
          </w:p>
        </w:tc>
        <w:tc>
          <w:tcPr>
            <w:tcW w:w="259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盛装容器应满足防渗漏、防刺破要求，并有医疗废物标识或者外加一层医疗废物包装袋。标签为损伤性废物，并注明：导丝。</w:t>
            </w:r>
          </w:p>
        </w:tc>
        <w:tc>
          <w:tcPr>
            <w:tcW w:w="162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可不使用利器盒收集。</w:t>
            </w:r>
          </w:p>
          <w:p>
            <w:pPr>
              <w:widowControl/>
              <w:spacing w:line="251" w:lineRule="atLeast"/>
              <w:jc w:val="left"/>
              <w:rPr>
                <w:rFonts w:hint="eastAsia" w:ascii="微软雅黑" w:hAnsi="微软雅黑" w:eastAsia="微软雅黑" w:cs="宋体"/>
                <w:color w:val="484848"/>
                <w:kern w:val="0"/>
                <w:sz w:val="24"/>
                <w:szCs w:val="24"/>
              </w:rPr>
            </w:pPr>
            <w:r>
              <w:rPr>
                <w:rFonts w:hint="eastAsia" w:ascii="MS Mincho" w:hAnsi="MS Mincho" w:eastAsia="MS Mincho" w:cs="MS Mincho"/>
                <w:color w:val="484848"/>
                <w:kern w:val="0"/>
                <w:sz w:val="22"/>
              </w:rPr>
              <w:t> </w:t>
            </w:r>
          </w:p>
          <w:p>
            <w:pPr>
              <w:widowControl/>
              <w:spacing w:line="251" w:lineRule="atLeast"/>
              <w:jc w:val="left"/>
              <w:rPr>
                <w:rFonts w:ascii="微软雅黑" w:hAnsi="微软雅黑" w:eastAsia="微软雅黑" w:cs="宋体"/>
                <w:color w:val="484848"/>
                <w:kern w:val="0"/>
                <w:sz w:val="24"/>
                <w:szCs w:val="24"/>
              </w:rPr>
            </w:pPr>
            <w:r>
              <w:rPr>
                <w:rFonts w:hint="eastAsia" w:ascii="MS Mincho" w:hAnsi="MS Mincho" w:eastAsia="MS Mincho" w:cs="MS Mincho"/>
                <w:color w:val="484848"/>
                <w:kern w:val="0"/>
                <w:sz w:val="22"/>
                <w:shd w:val="clear" w:color="auto" w:fill="D9D9D9"/>
              </w:rPr>
              <w:t> </w:t>
            </w:r>
          </w:p>
        </w:tc>
      </w:tr>
      <w:tr>
        <w:tblPrEx>
          <w:tblCellMar>
            <w:top w:w="0" w:type="dxa"/>
            <w:left w:w="0" w:type="dxa"/>
            <w:bottom w:w="0" w:type="dxa"/>
            <w:right w:w="0" w:type="dxa"/>
          </w:tblCellMar>
        </w:tblPrEx>
        <w:trPr>
          <w:trHeight w:val="1492" w:hRule="atLeast"/>
          <w:jc w:val="center"/>
        </w:trPr>
        <w:tc>
          <w:tcPr>
            <w:tcW w:w="83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51" w:lineRule="atLeast"/>
              <w:jc w:val="center"/>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3</w:t>
            </w:r>
          </w:p>
        </w:tc>
        <w:tc>
          <w:tcPr>
            <w:tcW w:w="12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棉签、棉球、输液贴</w:t>
            </w:r>
          </w:p>
        </w:tc>
        <w:tc>
          <w:tcPr>
            <w:tcW w:w="157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全部环节</w:t>
            </w:r>
          </w:p>
        </w:tc>
        <w:tc>
          <w:tcPr>
            <w:tcW w:w="259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患者自行用于按压止血而未收集于医疗废物容器中的棉签、棉球、输液贴。</w:t>
            </w:r>
          </w:p>
        </w:tc>
        <w:tc>
          <w:tcPr>
            <w:tcW w:w="162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全过程不按照医疗废物管理。</w:t>
            </w:r>
          </w:p>
        </w:tc>
      </w:tr>
      <w:tr>
        <w:tblPrEx>
          <w:tblCellMar>
            <w:top w:w="0" w:type="dxa"/>
            <w:left w:w="0" w:type="dxa"/>
            <w:bottom w:w="0" w:type="dxa"/>
            <w:right w:w="0" w:type="dxa"/>
          </w:tblCellMar>
        </w:tblPrEx>
        <w:trPr>
          <w:jc w:val="center"/>
        </w:trPr>
        <w:tc>
          <w:tcPr>
            <w:tcW w:w="83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51" w:lineRule="atLeast"/>
              <w:jc w:val="center"/>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4</w:t>
            </w:r>
          </w:p>
        </w:tc>
        <w:tc>
          <w:tcPr>
            <w:tcW w:w="12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感染性废物、损伤性废物以及相关技术可处理的病理性废物</w:t>
            </w:r>
          </w:p>
        </w:tc>
        <w:tc>
          <w:tcPr>
            <w:tcW w:w="157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运输、贮存、处置</w:t>
            </w:r>
          </w:p>
        </w:tc>
        <w:tc>
          <w:tcPr>
            <w:tcW w:w="259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按照相关处理标准规范，采用高温蒸汽、微波、化学消毒、高温干热或者其他方式消毒处理后，在满足相关入厂（场）要求的前提下，运输至生活垃圾焚烧厂或生活垃圾填埋场等处置。</w:t>
            </w:r>
          </w:p>
        </w:tc>
        <w:tc>
          <w:tcPr>
            <w:tcW w:w="162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1" w:lineRule="atLeast"/>
              <w:jc w:val="left"/>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2"/>
              </w:rPr>
              <w:t>运输、贮存、处置过程不按照医疗废物管理。</w:t>
            </w:r>
          </w:p>
        </w:tc>
      </w:tr>
    </w:tbl>
    <w:p>
      <w:pPr>
        <w:widowControl/>
        <w:rPr>
          <w:rFonts w:hint="eastAsia" w:ascii="仿宋" w:hAnsi="仿宋" w:eastAsia="仿宋" w:cs="宋体"/>
          <w:color w:val="484848"/>
          <w:kern w:val="0"/>
          <w:sz w:val="32"/>
          <w:szCs w:val="32"/>
        </w:rPr>
      </w:pPr>
      <w:r>
        <w:rPr>
          <w:rFonts w:hint="eastAsia" w:ascii="MS Mincho" w:hAnsi="MS Mincho" w:eastAsia="MS Mincho" w:cs="MS Mincho"/>
          <w:color w:val="484848"/>
          <w:kern w:val="0"/>
          <w:sz w:val="32"/>
          <w:szCs w:val="32"/>
        </w:rPr>
        <w:t> </w:t>
      </w:r>
    </w:p>
    <w:p>
      <w:pPr>
        <w:widowControl/>
        <w:rPr>
          <w:rFonts w:hint="eastAsia" w:ascii="仿宋" w:hAnsi="仿宋" w:eastAsia="仿宋" w:cs="宋体"/>
          <w:color w:val="484848"/>
          <w:kern w:val="0"/>
          <w:sz w:val="32"/>
          <w:szCs w:val="32"/>
        </w:rPr>
      </w:pPr>
      <w:r>
        <w:rPr>
          <w:rFonts w:hint="eastAsia" w:ascii="微软雅黑" w:hAnsi="微软雅黑" w:eastAsia="微软雅黑" w:cs="宋体"/>
          <w:color w:val="484848"/>
          <w:kern w:val="0"/>
          <w:sz w:val="28"/>
          <w:szCs w:val="28"/>
        </w:rPr>
        <w:t>　　说明：本附表收录的豁免清单为符合医疗废物定义、但无风险或者风险较低，在满足相关条件时，在部分环节或全部环节可不按医疗废物进行管理的废弃物。</w:t>
      </w:r>
    </w:p>
    <w:p>
      <w:pPr>
        <w:widowControl/>
        <w:rPr>
          <w:rFonts w:hint="eastAsia" w:ascii="仿宋" w:hAnsi="仿宋" w:eastAsia="仿宋" w:cs="宋体"/>
          <w:color w:val="484848"/>
          <w:kern w:val="0"/>
          <w:sz w:val="32"/>
          <w:szCs w:val="32"/>
        </w:rPr>
      </w:pPr>
      <w:r>
        <w:rPr>
          <w:rFonts w:hint="eastAsia" w:ascii="MS Mincho" w:hAnsi="MS Mincho" w:eastAsia="MS Mincho" w:cs="MS Mincho"/>
          <w:color w:val="484848"/>
          <w:kern w:val="0"/>
          <w:sz w:val="32"/>
          <w:szCs w:val="32"/>
        </w:rPr>
        <w:t> </w:t>
      </w:r>
    </w:p>
    <w:p>
      <w:pPr>
        <w:widowControl/>
        <w:spacing w:line="525" w:lineRule="atLeast"/>
        <w:jc w:val="center"/>
        <w:rPr>
          <w:rFonts w:ascii="微软雅黑" w:hAnsi="微软雅黑" w:eastAsia="微软雅黑" w:cs="宋体"/>
          <w:color w:val="1966A7"/>
          <w:kern w:val="0"/>
          <w:sz w:val="36"/>
          <w:szCs w:val="36"/>
        </w:rPr>
      </w:pPr>
      <w:r>
        <w:rPr>
          <w:rFonts w:hint="eastAsia" w:ascii="微软雅黑" w:hAnsi="微软雅黑" w:eastAsia="微软雅黑" w:cs="宋体"/>
          <w:color w:val="1966A7"/>
          <w:kern w:val="0"/>
          <w:sz w:val="36"/>
          <w:szCs w:val="36"/>
        </w:rPr>
        <w:t>《医疗废物分类目录（2021年版）》解读</w:t>
      </w:r>
    </w:p>
    <w:p>
      <w:pPr>
        <w:widowControl/>
        <w:jc w:val="center"/>
        <w:rPr>
          <w:rFonts w:hint="eastAsia" w:ascii="微软雅黑" w:hAnsi="微软雅黑" w:eastAsia="微软雅黑" w:cs="宋体"/>
          <w:color w:val="484848"/>
          <w:kern w:val="0"/>
          <w:sz w:val="15"/>
          <w:szCs w:val="15"/>
        </w:rPr>
      </w:pPr>
      <w:r>
        <w:rPr>
          <w:rFonts w:ascii="微软雅黑" w:hAnsi="微软雅黑" w:eastAsia="微软雅黑" w:cs="宋体"/>
          <w:color w:val="484848"/>
          <w:kern w:val="0"/>
          <w:sz w:val="18"/>
          <w:szCs w:val="18"/>
        </w:rPr>
        <w:drawing>
          <wp:inline distT="0" distB="0" distL="0" distR="0">
            <wp:extent cx="228600" cy="228600"/>
            <wp:effectExtent l="19050" t="0" r="0" b="0"/>
            <wp:docPr id="7" name="图片 7" descr="http://www.nhc.gov.cn/yzygj/xhtml/images/sm.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nhc.gov.cn/yzygj/xhtml/images/sm.jpg"/>
                    <pic:cNvPicPr>
                      <a:picLocks noChangeAspect="1" noChangeArrowheads="1"/>
                    </pic:cNvPicPr>
                  </pic:nvPicPr>
                  <pic:blipFill>
                    <a:blip r:embed="rId5"/>
                    <a:srcRect/>
                    <a:stretch>
                      <a:fillRect/>
                    </a:stretch>
                  </pic:blipFill>
                  <pic:spPr>
                    <a:xfrm>
                      <a:off x="0" y="0"/>
                      <a:ext cx="228600" cy="228600"/>
                    </a:xfrm>
                    <a:prstGeom prst="rect">
                      <a:avLst/>
                    </a:prstGeom>
                    <a:noFill/>
                    <a:ln w="9525">
                      <a:noFill/>
                      <a:miter lim="800000"/>
                      <a:headEnd/>
                      <a:tailEnd/>
                    </a:ln>
                  </pic:spPr>
                </pic:pic>
              </a:graphicData>
            </a:graphic>
          </wp:inline>
        </w:drawing>
      </w:r>
      <w:r>
        <w:rPr>
          <w:rFonts w:ascii="微软雅黑" w:hAnsi="微软雅黑" w:eastAsia="微软雅黑" w:cs="宋体"/>
          <w:color w:val="484848"/>
          <w:kern w:val="0"/>
          <w:sz w:val="18"/>
          <w:szCs w:val="18"/>
        </w:rPr>
        <w:drawing>
          <wp:inline distT="0" distB="0" distL="0" distR="0">
            <wp:extent cx="228600" cy="228600"/>
            <wp:effectExtent l="19050" t="0" r="0" b="0"/>
            <wp:docPr id="8" name="图片 8" descr="http://www.nhc.gov.cn/yzygj/xhtml/images/bi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nhc.gov.cn/yzygj/xhtml/images/big.jpg"/>
                    <pic:cNvPicPr>
                      <a:picLocks noChangeAspect="1" noChangeArrowheads="1"/>
                    </pic:cNvPicPr>
                  </pic:nvPicPr>
                  <pic:blipFill>
                    <a:blip r:embed="rId6"/>
                    <a:srcRect/>
                    <a:stretch>
                      <a:fillRect/>
                    </a:stretch>
                  </pic:blipFill>
                  <pic:spPr>
                    <a:xfrm>
                      <a:off x="0" y="0"/>
                      <a:ext cx="228600" cy="228600"/>
                    </a:xfrm>
                    <a:prstGeom prst="rect">
                      <a:avLst/>
                    </a:prstGeom>
                    <a:noFill/>
                    <a:ln w="9525">
                      <a:noFill/>
                      <a:miter lim="800000"/>
                      <a:headEnd/>
                      <a:tailEnd/>
                    </a:ln>
                  </pic:spPr>
                </pic:pic>
              </a:graphicData>
            </a:graphic>
          </wp:inline>
        </w:drawing>
      </w:r>
      <w:r>
        <w:rPr>
          <w:rFonts w:ascii="微软雅黑" w:hAnsi="微软雅黑" w:eastAsia="微软雅黑" w:cs="宋体"/>
          <w:color w:val="484848"/>
          <w:kern w:val="0"/>
          <w:sz w:val="18"/>
          <w:szCs w:val="18"/>
        </w:rPr>
        <w:drawing>
          <wp:inline distT="0" distB="0" distL="0" distR="0">
            <wp:extent cx="219075" cy="228600"/>
            <wp:effectExtent l="19050" t="0" r="9525" b="0"/>
            <wp:docPr id="9" name="图片 9" descr="http://www.nhc.gov.cn/yzygj/xhtml/images/dy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www.nhc.gov.cn/yzygj/xhtml/images/dys.jpg"/>
                    <pic:cNvPicPr>
                      <a:picLocks noChangeAspect="1" noChangeArrowheads="1"/>
                    </pic:cNvPicPr>
                  </pic:nvPicPr>
                  <pic:blipFill>
                    <a:blip r:embed="rId8"/>
                    <a:srcRect/>
                    <a:stretch>
                      <a:fillRect/>
                    </a:stretch>
                  </pic:blipFill>
                  <pic:spPr>
                    <a:xfrm>
                      <a:off x="0" y="0"/>
                      <a:ext cx="219075" cy="228600"/>
                    </a:xfrm>
                    <a:prstGeom prst="rect">
                      <a:avLst/>
                    </a:prstGeom>
                    <a:noFill/>
                    <a:ln w="9525">
                      <a:noFill/>
                      <a:miter lim="800000"/>
                      <a:headEnd/>
                      <a:tailEnd/>
                    </a:ln>
                  </pic:spPr>
                </pic:pic>
              </a:graphicData>
            </a:graphic>
          </wp:inline>
        </w:drawing>
      </w:r>
    </w:p>
    <w:p>
      <w:pPr>
        <w:widowControl/>
        <w:jc w:val="center"/>
        <w:rPr>
          <w:rFonts w:hint="eastAsia" w:ascii="微软雅黑" w:hAnsi="微软雅黑" w:eastAsia="微软雅黑" w:cs="宋体"/>
          <w:color w:val="484848"/>
          <w:kern w:val="0"/>
          <w:sz w:val="15"/>
          <w:szCs w:val="15"/>
        </w:rPr>
      </w:pPr>
      <w:r>
        <w:rPr>
          <w:rFonts w:hint="eastAsia" w:ascii="微软雅黑" w:hAnsi="微软雅黑" w:eastAsia="微软雅黑" w:cs="宋体"/>
          <w:color w:val="979797"/>
          <w:kern w:val="0"/>
          <w:sz w:val="18"/>
          <w:szCs w:val="18"/>
        </w:rPr>
        <w:t>发布时间： 2021-12-01 </w:t>
      </w:r>
      <w:r>
        <w:rPr>
          <w:rFonts w:hint="eastAsia" w:ascii="微软雅黑" w:hAnsi="微软雅黑" w:eastAsia="微软雅黑" w:cs="宋体"/>
          <w:color w:val="979797"/>
          <w:kern w:val="0"/>
          <w:sz w:val="18"/>
        </w:rPr>
        <w:t>来源: 医政医管局</w:t>
      </w:r>
    </w:p>
    <w:p>
      <w:pPr>
        <w:widowControl/>
        <w:ind w:firstLine="480"/>
        <w:rPr>
          <w:rFonts w:hint="eastAsia" w:ascii="仿宋" w:hAnsi="仿宋" w:eastAsia="仿宋" w:cs="宋体"/>
          <w:color w:val="484848"/>
          <w:kern w:val="0"/>
          <w:sz w:val="32"/>
          <w:szCs w:val="32"/>
        </w:rPr>
      </w:pPr>
      <w:r>
        <w:rPr>
          <w:rFonts w:hint="eastAsia" w:ascii="黑体" w:hAnsi="黑体" w:eastAsia="黑体" w:cs="宋体"/>
          <w:color w:val="484848"/>
          <w:kern w:val="0"/>
          <w:sz w:val="32"/>
          <w:szCs w:val="32"/>
        </w:rPr>
        <w:t>一、修订背景</w:t>
      </w:r>
      <w:r>
        <w:rPr>
          <w:rFonts w:hint="eastAsia" w:ascii="黑体" w:hAnsi="黑体" w:eastAsia="黑体" w:cs="宋体"/>
          <w:color w:val="484848"/>
          <w:kern w:val="0"/>
          <w:sz w:val="32"/>
          <w:szCs w:val="32"/>
        </w:rPr>
        <w:br w:type="textWrapping"/>
      </w:r>
      <w:r>
        <w:rPr>
          <w:rFonts w:hint="eastAsia" w:ascii="仿宋" w:hAnsi="仿宋" w:eastAsia="仿宋" w:cs="宋体"/>
          <w:color w:val="484848"/>
          <w:kern w:val="0"/>
          <w:sz w:val="32"/>
          <w:szCs w:val="32"/>
        </w:rPr>
        <w:t>　　根据《医疗废物管理条例》，原卫生部、原国家环保总局于2003年出台了《医疗废物分类目录》。该目录是分类收集和处置医疗废物的重要依据，为规范管理医疗废物、维护人民健康、保护生态环境发挥了积极作用。实施十几年来，我国医疗废物管理面临着新形势新变化，在实际工作中遇到一些问题需要厘清。特别是新修订的《中华人民共和国固体废物污染环境防治法》规定“医疗废物按照国家危险废物名录管理”，生态环境部等5部门联合印发的《国家危险废物名录（2021年版）》规定“医疗废物分类按照《医疗废物分类目录》执行”，这些都对修订2003年版的目录提出了要求。</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为进一步提高医疗废物分类管理水平，实现医疗废物处置的无害化、减量化、科学化，国家卫生健康委和生态环境部对目录进行修订，形成了《医疗废物分类目录（2021年版）》（以下简称《目录》）。《目录》适用于各级各类医疗卫生机构。</w:t>
      </w:r>
      <w:r>
        <w:rPr>
          <w:rFonts w:hint="eastAsia" w:ascii="仿宋" w:hAnsi="仿宋" w:eastAsia="仿宋" w:cs="宋体"/>
          <w:color w:val="484848"/>
          <w:kern w:val="0"/>
          <w:sz w:val="32"/>
          <w:szCs w:val="32"/>
        </w:rPr>
        <w:br w:type="textWrapping"/>
      </w:r>
      <w:r>
        <w:rPr>
          <w:rFonts w:hint="eastAsia" w:ascii="黑体" w:hAnsi="黑体" w:eastAsia="黑体" w:cs="宋体"/>
          <w:color w:val="484848"/>
          <w:kern w:val="0"/>
          <w:sz w:val="32"/>
          <w:szCs w:val="32"/>
        </w:rPr>
        <w:t>　　二、主要内容</w:t>
      </w:r>
      <w:r>
        <w:rPr>
          <w:rFonts w:hint="eastAsia" w:ascii="黑体" w:hAnsi="黑体" w:eastAsia="黑体" w:cs="宋体"/>
          <w:color w:val="484848"/>
          <w:kern w:val="0"/>
          <w:sz w:val="32"/>
          <w:szCs w:val="32"/>
        </w:rPr>
        <w:br w:type="textWrapping"/>
      </w:r>
      <w:r>
        <w:rPr>
          <w:rFonts w:hint="eastAsia" w:ascii="仿宋" w:hAnsi="仿宋" w:eastAsia="仿宋" w:cs="宋体"/>
          <w:color w:val="484848"/>
          <w:kern w:val="0"/>
          <w:sz w:val="32"/>
          <w:szCs w:val="32"/>
        </w:rPr>
        <w:t>　　《目录》延续了原有的五个类别和特征，增加了分类的管理要求、收集方式、满足相应条件下的豁免管理等内容。</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在正文部分中，明确了目录制定的依据和适用范围，提出医疗废物分类收集应当与处置方式相衔接，鼓励减少使用含汞的医疗器械，鼓励使用可复用的医疗器械、器具和物品。同时，重申了部分废物的处置要遵照相应的法律、法规、标准和规定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在附表1《医疗废物分类目录》中，对感染性废物、损伤性废物、病理性废物、药物性废物及化学性废物五类常见组分或废物名称进行了归类与细化，新增了收集方式，进一步明确了医疗废物的盛装方法和收集管理要求。例如，规定了被污染的除锐器以外的废物均属于感染性废物；16周胎龄以下或重量不足500克的胚胎组织属于病理性废物；明确了病原微生物实验室废弃标本的处理方法等。此外，还补充说明了一些常见的废弃物不属于医疗废物，例如盛装消毒剂、透析液的空容器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在附表2《医疗废物豁免管理清单》中，规定了一些无风险或风险较低的医疗废物，在满足相应条件时可以按照豁免内容的规定实行豁免管理。例如，安瓿瓶、导丝等在满足豁免条件时，可不使用利器盒收集，此举可明显减少不必要的利器盒使用。</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0A40"/>
    <w:rsid w:val="009215BA"/>
    <w:rsid w:val="0093087D"/>
    <w:rsid w:val="00CF0A40"/>
    <w:rsid w:val="00E51ABA"/>
    <w:rsid w:val="151A7746"/>
    <w:rsid w:val="19485E06"/>
    <w:rsid w:val="24954C98"/>
    <w:rsid w:val="3FD96698"/>
    <w:rsid w:val="74BB6F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mr"/>
    <w:basedOn w:val="5"/>
    <w:qFormat/>
    <w:uiPriority w:val="0"/>
  </w:style>
  <w:style w:type="character" w:customStyle="1" w:styleId="8">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yperlink" Target="http://www.nhc.gov.cn/yzygj/s3594/202111/d28b6aeffefd4312be1abd08b64d024a.shtml" TargetMode="Externa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zygj/s7659/202111/a41b01037b1245d8bacf9acf2cd01c13.shtml?R0NMKk6uozOC=1638345444895" TargetMode="Externa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563</Words>
  <Characters>3210</Characters>
  <Lines>26</Lines>
  <Paragraphs>7</Paragraphs>
  <TotalTime>33</TotalTime>
  <ScaleCrop>false</ScaleCrop>
  <LinksUpToDate>false</LinksUpToDate>
  <CharactersWithSpaces>3766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2021-12-01T08:04:00Z</dcterms:created>
  <dc:creator>xb21cn</dc:creator>
  <cp:lastModifiedBy>strawberry</cp:lastModifiedBy>
  <dcterms:modified xsi:type="dcterms:W3CDTF">2021-12-02T01:35:59Z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EEA7370C29CF4B04B46226CC201C4D15</vt:lpwstr>
  </property>
</Properties>
</file>